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68A7" w14:textId="77777777" w:rsidR="00D47190" w:rsidRPr="00D47190" w:rsidRDefault="00D47190" w:rsidP="00D47190">
      <w:pPr>
        <w:spacing w:after="0" w:line="240" w:lineRule="auto"/>
        <w:jc w:val="center"/>
        <w:rPr>
          <w:b/>
          <w:sz w:val="24"/>
          <w:szCs w:val="24"/>
        </w:rPr>
      </w:pPr>
      <w:r w:rsidRPr="00D47190">
        <w:rPr>
          <w:b/>
          <w:sz w:val="24"/>
          <w:szCs w:val="24"/>
        </w:rPr>
        <w:t>ORDINANCE</w:t>
      </w:r>
    </w:p>
    <w:p w14:paraId="749CC760" w14:textId="77777777" w:rsidR="008E1B99" w:rsidRDefault="00D47190" w:rsidP="00D47190">
      <w:pPr>
        <w:spacing w:after="0" w:line="240" w:lineRule="auto"/>
        <w:jc w:val="center"/>
        <w:rPr>
          <w:b/>
          <w:sz w:val="24"/>
          <w:szCs w:val="24"/>
        </w:rPr>
      </w:pPr>
      <w:r w:rsidRPr="00D47190">
        <w:rPr>
          <w:b/>
          <w:sz w:val="24"/>
          <w:szCs w:val="24"/>
        </w:rPr>
        <w:t>AN ORDINANCE AMENDING CHAPTER 13 (“HUMAN RIGHTS”)</w:t>
      </w:r>
      <w:r w:rsidR="00B57230">
        <w:rPr>
          <w:b/>
          <w:sz w:val="24"/>
          <w:szCs w:val="24"/>
        </w:rPr>
        <w:t xml:space="preserve"> </w:t>
      </w:r>
      <w:r w:rsidRPr="00D47190">
        <w:rPr>
          <w:b/>
          <w:sz w:val="24"/>
          <w:szCs w:val="24"/>
        </w:rPr>
        <w:t>OF THE OAK PARK</w:t>
      </w:r>
      <w:r w:rsidR="00B57230">
        <w:rPr>
          <w:b/>
          <w:sz w:val="24"/>
          <w:szCs w:val="24"/>
        </w:rPr>
        <w:t xml:space="preserve"> </w:t>
      </w:r>
    </w:p>
    <w:p w14:paraId="3D999FB1" w14:textId="77777777" w:rsidR="00D47190" w:rsidRPr="00D47190" w:rsidRDefault="00D47190" w:rsidP="00D47190">
      <w:pPr>
        <w:spacing w:after="0" w:line="240" w:lineRule="auto"/>
        <w:jc w:val="center"/>
        <w:rPr>
          <w:b/>
          <w:sz w:val="24"/>
          <w:szCs w:val="24"/>
        </w:rPr>
      </w:pPr>
      <w:r w:rsidRPr="00A47C55">
        <w:rPr>
          <w:b/>
          <w:sz w:val="24"/>
          <w:szCs w:val="24"/>
          <w:u w:val="single"/>
        </w:rPr>
        <w:t xml:space="preserve">VILLAGE </w:t>
      </w:r>
      <w:r w:rsidRPr="00D47190">
        <w:rPr>
          <w:b/>
          <w:sz w:val="24"/>
          <w:szCs w:val="24"/>
          <w:u w:val="single"/>
        </w:rPr>
        <w:t>CODE BY</w:t>
      </w:r>
      <w:r w:rsidR="00B57230" w:rsidRPr="00B57230">
        <w:rPr>
          <w:b/>
          <w:sz w:val="24"/>
          <w:szCs w:val="24"/>
          <w:u w:val="single"/>
        </w:rPr>
        <w:t xml:space="preserve"> </w:t>
      </w:r>
      <w:r w:rsidRPr="00D47190">
        <w:rPr>
          <w:b/>
          <w:sz w:val="24"/>
          <w:szCs w:val="24"/>
          <w:u w:val="single"/>
        </w:rPr>
        <w:t xml:space="preserve">ADDING A NEW </w:t>
      </w:r>
      <w:r w:rsidR="00B57230">
        <w:rPr>
          <w:b/>
          <w:sz w:val="24"/>
          <w:szCs w:val="24"/>
          <w:u w:val="single"/>
        </w:rPr>
        <w:t>ARTICLE 9</w:t>
      </w:r>
      <w:r w:rsidRPr="00D47190">
        <w:rPr>
          <w:b/>
          <w:sz w:val="24"/>
          <w:szCs w:val="24"/>
          <w:u w:val="single"/>
        </w:rPr>
        <w:t xml:space="preserve"> (“</w:t>
      </w:r>
      <w:r w:rsidR="00E545E9">
        <w:rPr>
          <w:b/>
          <w:sz w:val="24"/>
          <w:szCs w:val="24"/>
          <w:u w:val="single"/>
        </w:rPr>
        <w:t>GENDER AFFIRMING CARE</w:t>
      </w:r>
      <w:r w:rsidRPr="00D47190">
        <w:rPr>
          <w:b/>
          <w:sz w:val="24"/>
          <w:szCs w:val="24"/>
          <w:u w:val="single"/>
        </w:rPr>
        <w:t>”)</w:t>
      </w:r>
    </w:p>
    <w:p w14:paraId="49901FD8" w14:textId="77777777" w:rsidR="00D47190" w:rsidRPr="00D47190" w:rsidRDefault="00D47190" w:rsidP="00D47190">
      <w:pPr>
        <w:spacing w:after="0" w:line="240" w:lineRule="auto"/>
        <w:jc w:val="center"/>
        <w:rPr>
          <w:b/>
          <w:sz w:val="24"/>
          <w:szCs w:val="24"/>
        </w:rPr>
      </w:pPr>
      <w:r w:rsidRPr="00D47190">
        <w:rPr>
          <w:b/>
          <w:sz w:val="24"/>
          <w:szCs w:val="24"/>
        </w:rPr>
        <w:t xml:space="preserve"> </w:t>
      </w:r>
    </w:p>
    <w:p w14:paraId="77004261" w14:textId="7B1498AA" w:rsidR="00D47190" w:rsidRPr="00D47190" w:rsidRDefault="00D47190" w:rsidP="00D47190">
      <w:pPr>
        <w:spacing w:after="0" w:line="240" w:lineRule="auto"/>
        <w:jc w:val="both"/>
        <w:rPr>
          <w:rFonts w:eastAsia="Calibri" w:cs="Times New Roman"/>
          <w:sz w:val="24"/>
          <w:szCs w:val="24"/>
        </w:rPr>
      </w:pPr>
      <w:r w:rsidRPr="00D47190">
        <w:rPr>
          <w:rFonts w:eastAsia="Calibri" w:cs="Times New Roman"/>
          <w:b/>
          <w:sz w:val="24"/>
          <w:szCs w:val="24"/>
        </w:rPr>
        <w:tab/>
        <w:t>WHEREAS,</w:t>
      </w:r>
      <w:r w:rsidRPr="00D47190">
        <w:rPr>
          <w:rFonts w:eastAsia="Calibri" w:cs="Times New Roman"/>
          <w:sz w:val="24"/>
          <w:szCs w:val="24"/>
        </w:rPr>
        <w:t xml:space="preserve"> Article VII, Section 6(a) of the Illinois Constitution of 1970, provides that the “powers and functions of home rule units shall be construed liberally,” and written “with the intention that home rule units be given the broadest powers possible,” </w:t>
      </w:r>
      <w:r w:rsidRPr="00D47190">
        <w:rPr>
          <w:rFonts w:eastAsia="Calibri" w:cs="Times New Roman"/>
          <w:i/>
          <w:sz w:val="24"/>
          <w:szCs w:val="24"/>
        </w:rPr>
        <w:t>Scadron v. City of Des Plaines</w:t>
      </w:r>
      <w:r w:rsidRPr="00D47190">
        <w:rPr>
          <w:rFonts w:eastAsia="Calibri" w:cs="Times New Roman"/>
          <w:sz w:val="24"/>
          <w:szCs w:val="24"/>
        </w:rPr>
        <w:t xml:space="preserve">, 153 Ill.2d 164 (1992), and this Ordinance is adopted pursuant to such authority; and  </w:t>
      </w:r>
    </w:p>
    <w:p w14:paraId="5FFF76DA" w14:textId="77777777" w:rsidR="00D47190" w:rsidRPr="00D47190" w:rsidRDefault="00D47190" w:rsidP="00D47190">
      <w:pPr>
        <w:spacing w:after="0" w:line="240" w:lineRule="auto"/>
        <w:ind w:firstLine="720"/>
        <w:jc w:val="both"/>
        <w:rPr>
          <w:rFonts w:cstheme="minorHAnsi"/>
          <w:b/>
          <w:sz w:val="24"/>
          <w:szCs w:val="24"/>
        </w:rPr>
      </w:pPr>
    </w:p>
    <w:p w14:paraId="667F6D86" w14:textId="77777777" w:rsidR="00D47190" w:rsidRPr="00D47190" w:rsidRDefault="00D47190" w:rsidP="00D47190">
      <w:pPr>
        <w:spacing w:after="0" w:line="240" w:lineRule="auto"/>
        <w:ind w:firstLine="720"/>
        <w:jc w:val="both"/>
        <w:rPr>
          <w:rFonts w:cstheme="minorHAnsi"/>
          <w:sz w:val="24"/>
          <w:szCs w:val="24"/>
        </w:rPr>
      </w:pPr>
      <w:r w:rsidRPr="00D47190">
        <w:rPr>
          <w:rFonts w:cstheme="minorHAnsi"/>
          <w:b/>
          <w:sz w:val="24"/>
          <w:szCs w:val="24"/>
        </w:rPr>
        <w:t>WHEREAS,</w:t>
      </w:r>
      <w:r w:rsidRPr="00D47190">
        <w:rPr>
          <w:rFonts w:cstheme="minorHAnsi"/>
          <w:sz w:val="24"/>
          <w:szCs w:val="24"/>
        </w:rPr>
        <w:t xml:space="preserve"> the Village of Oak Park (“Village”) as a home rule unit of local government as provided by Article VII, Section 6 of the Illinois Constitution of 1970 has the authority to exercise any power and perform any function pertaining to its government and affairs except as limited by Article VII, Section 6 of the Illinois Constitution of 1970; and</w:t>
      </w:r>
    </w:p>
    <w:p w14:paraId="41998FD6" w14:textId="77777777" w:rsidR="00D47190" w:rsidRPr="00D47190" w:rsidRDefault="00D47190" w:rsidP="00D47190">
      <w:pPr>
        <w:spacing w:after="0" w:line="240" w:lineRule="auto"/>
        <w:jc w:val="both"/>
        <w:rPr>
          <w:rFonts w:cstheme="minorHAnsi"/>
          <w:sz w:val="24"/>
          <w:szCs w:val="24"/>
        </w:rPr>
      </w:pPr>
    </w:p>
    <w:p w14:paraId="3B2FDCA2" w14:textId="77777777" w:rsidR="00D47190" w:rsidRPr="00D47190" w:rsidRDefault="00D47190" w:rsidP="00D47190">
      <w:pPr>
        <w:spacing w:after="0" w:line="240" w:lineRule="auto"/>
        <w:jc w:val="both"/>
        <w:rPr>
          <w:rFonts w:cstheme="minorHAnsi"/>
          <w:sz w:val="24"/>
          <w:szCs w:val="24"/>
        </w:rPr>
      </w:pPr>
      <w:r w:rsidRPr="00D47190">
        <w:rPr>
          <w:rFonts w:cstheme="minorHAnsi"/>
          <w:sz w:val="24"/>
          <w:szCs w:val="24"/>
        </w:rPr>
        <w:tab/>
      </w:r>
      <w:r w:rsidRPr="00D47190">
        <w:rPr>
          <w:rFonts w:cstheme="minorHAnsi"/>
          <w:b/>
          <w:sz w:val="24"/>
          <w:szCs w:val="24"/>
        </w:rPr>
        <w:t>WHEREAS,</w:t>
      </w:r>
      <w:r w:rsidRPr="00D47190">
        <w:rPr>
          <w:rFonts w:cstheme="minorHAnsi"/>
          <w:sz w:val="24"/>
          <w:szCs w:val="24"/>
        </w:rPr>
        <w:t xml:space="preserve"> pursuant to its Constitutional home rule powers, the Village has authority to “perform any function pertaining to its government and affairs including, but not limited to, the power to regulate for the protection of the public health, safety, morals, and welfare,” Ill. Const art. 7 § 6, by adopting ordinances and promulgating rules and regulations that pertain to its government and affairs that protect the public health, safety, and welfare of its citizens; and</w:t>
      </w:r>
    </w:p>
    <w:p w14:paraId="36300F2A" w14:textId="77777777" w:rsidR="00D47190" w:rsidRPr="00D47190" w:rsidRDefault="00D47190" w:rsidP="00D47190">
      <w:pPr>
        <w:spacing w:after="0" w:line="240" w:lineRule="auto"/>
        <w:jc w:val="both"/>
        <w:rPr>
          <w:rFonts w:cstheme="minorHAnsi"/>
          <w:sz w:val="24"/>
          <w:szCs w:val="24"/>
        </w:rPr>
      </w:pPr>
    </w:p>
    <w:p w14:paraId="6CC28FB4" w14:textId="6031B016" w:rsidR="00D47190" w:rsidRPr="00D47190" w:rsidRDefault="00D47190" w:rsidP="00D47190">
      <w:pPr>
        <w:spacing w:after="0" w:line="240" w:lineRule="auto"/>
        <w:jc w:val="both"/>
        <w:rPr>
          <w:rFonts w:cstheme="minorHAnsi"/>
          <w:sz w:val="24"/>
          <w:szCs w:val="24"/>
        </w:rPr>
      </w:pPr>
      <w:r w:rsidRPr="00D47190">
        <w:rPr>
          <w:rFonts w:cstheme="minorHAnsi"/>
          <w:sz w:val="24"/>
          <w:szCs w:val="24"/>
        </w:rPr>
        <w:tab/>
      </w:r>
      <w:r w:rsidRPr="00D47190">
        <w:rPr>
          <w:rFonts w:cstheme="minorHAnsi"/>
          <w:b/>
          <w:sz w:val="24"/>
          <w:szCs w:val="24"/>
        </w:rPr>
        <w:t xml:space="preserve">WHEREAS, </w:t>
      </w:r>
      <w:r w:rsidR="007920BA">
        <w:rPr>
          <w:rFonts w:cstheme="minorHAnsi"/>
          <w:sz w:val="24"/>
          <w:szCs w:val="24"/>
        </w:rPr>
        <w:t>t</w:t>
      </w:r>
      <w:r w:rsidR="007920BA" w:rsidRPr="00D47190">
        <w:rPr>
          <w:rFonts w:cstheme="minorHAnsi"/>
          <w:sz w:val="24"/>
          <w:szCs w:val="24"/>
        </w:rPr>
        <w:t xml:space="preserve">he </w:t>
      </w:r>
      <w:r w:rsidR="007920BA">
        <w:rPr>
          <w:rFonts w:cstheme="minorHAnsi"/>
          <w:sz w:val="24"/>
          <w:szCs w:val="24"/>
        </w:rPr>
        <w:t>Illinois Lawful Health Care Activity Act</w:t>
      </w:r>
      <w:r w:rsidR="007920BA" w:rsidRPr="00D47190">
        <w:rPr>
          <w:rFonts w:cstheme="minorHAnsi"/>
          <w:sz w:val="24"/>
          <w:szCs w:val="24"/>
        </w:rPr>
        <w:t xml:space="preserve">, </w:t>
      </w:r>
      <w:r w:rsidR="007920BA">
        <w:rPr>
          <w:rFonts w:cstheme="minorHAnsi"/>
          <w:sz w:val="24"/>
          <w:szCs w:val="24"/>
        </w:rPr>
        <w:t>735</w:t>
      </w:r>
      <w:r w:rsidR="007920BA" w:rsidRPr="00D47190">
        <w:rPr>
          <w:rFonts w:cstheme="minorHAnsi"/>
          <w:sz w:val="24"/>
          <w:szCs w:val="24"/>
        </w:rPr>
        <w:t xml:space="preserve"> Illinois Compiled Statutes </w:t>
      </w:r>
      <w:r w:rsidR="007920BA">
        <w:rPr>
          <w:rFonts w:cstheme="minorHAnsi"/>
          <w:sz w:val="24"/>
          <w:szCs w:val="24"/>
        </w:rPr>
        <w:t>40/28-5</w:t>
      </w:r>
      <w:r w:rsidR="007920BA" w:rsidRPr="00D47190">
        <w:rPr>
          <w:rFonts w:cstheme="minorHAnsi"/>
          <w:sz w:val="24"/>
          <w:szCs w:val="24"/>
        </w:rPr>
        <w:t xml:space="preserve"> </w:t>
      </w:r>
      <w:r w:rsidR="007920BA" w:rsidRPr="00D47190">
        <w:rPr>
          <w:rFonts w:cstheme="minorHAnsi"/>
          <w:i/>
          <w:sz w:val="24"/>
          <w:szCs w:val="24"/>
        </w:rPr>
        <w:t>et seq.</w:t>
      </w:r>
      <w:r w:rsidR="007920BA" w:rsidRPr="00D47190">
        <w:rPr>
          <w:rFonts w:cstheme="minorHAnsi"/>
          <w:sz w:val="24"/>
          <w:szCs w:val="24"/>
        </w:rPr>
        <w:t xml:space="preserve"> </w:t>
      </w:r>
      <w:r w:rsidRPr="00D47190">
        <w:rPr>
          <w:rFonts w:cstheme="minorHAnsi"/>
          <w:sz w:val="24"/>
          <w:szCs w:val="24"/>
        </w:rPr>
        <w:t>(the “Act”) sets forth the fundamental rights of individuals in the State of Illinois</w:t>
      </w:r>
      <w:r w:rsidR="007236C2">
        <w:rPr>
          <w:rFonts w:cstheme="minorHAnsi"/>
          <w:sz w:val="24"/>
          <w:szCs w:val="24"/>
        </w:rPr>
        <w:t xml:space="preserve"> to</w:t>
      </w:r>
      <w:r w:rsidR="007920BA">
        <w:rPr>
          <w:rFonts w:cstheme="minorHAnsi"/>
          <w:sz w:val="24"/>
          <w:szCs w:val="24"/>
        </w:rPr>
        <w:t xml:space="preserve"> </w:t>
      </w:r>
      <w:r w:rsidR="007236C2">
        <w:rPr>
          <w:rFonts w:cstheme="minorHAnsi"/>
          <w:sz w:val="24"/>
          <w:szCs w:val="24"/>
        </w:rPr>
        <w:t xml:space="preserve">obtain “lawful health care” which includes the “treatment of gender dysphoria or the affirmation of an </w:t>
      </w:r>
      <w:r w:rsidR="00AF3C2C">
        <w:rPr>
          <w:rFonts w:cstheme="minorHAnsi"/>
          <w:sz w:val="24"/>
          <w:szCs w:val="24"/>
        </w:rPr>
        <w:t>individual’s</w:t>
      </w:r>
      <w:r w:rsidR="007236C2">
        <w:rPr>
          <w:rFonts w:cstheme="minorHAnsi"/>
          <w:sz w:val="24"/>
          <w:szCs w:val="24"/>
        </w:rPr>
        <w:t xml:space="preserve"> gender identity or gender expression</w:t>
      </w:r>
      <w:r w:rsidR="009149CA">
        <w:rPr>
          <w:rFonts w:cstheme="minorHAnsi"/>
          <w:sz w:val="24"/>
          <w:szCs w:val="24"/>
        </w:rPr>
        <w:t>;</w:t>
      </w:r>
      <w:r w:rsidR="007236C2">
        <w:rPr>
          <w:rFonts w:cstheme="minorHAnsi"/>
          <w:sz w:val="24"/>
          <w:szCs w:val="24"/>
        </w:rPr>
        <w:t xml:space="preserve">” </w:t>
      </w:r>
      <w:r w:rsidRPr="00D47190">
        <w:rPr>
          <w:rFonts w:cstheme="minorHAnsi"/>
          <w:sz w:val="24"/>
          <w:szCs w:val="24"/>
        </w:rPr>
        <w:t>and</w:t>
      </w:r>
    </w:p>
    <w:p w14:paraId="7F0FD73C" w14:textId="77777777" w:rsidR="00D47190" w:rsidRPr="00D47190" w:rsidRDefault="00D47190" w:rsidP="00D47190">
      <w:pPr>
        <w:spacing w:after="0" w:line="240" w:lineRule="auto"/>
        <w:jc w:val="both"/>
        <w:rPr>
          <w:rFonts w:cstheme="minorHAnsi"/>
          <w:sz w:val="24"/>
          <w:szCs w:val="24"/>
        </w:rPr>
      </w:pPr>
    </w:p>
    <w:p w14:paraId="1DC119E7" w14:textId="77777777" w:rsidR="00D47190" w:rsidRPr="00D47190" w:rsidRDefault="00D47190" w:rsidP="00D47190">
      <w:pPr>
        <w:spacing w:after="0" w:line="240" w:lineRule="auto"/>
        <w:ind w:firstLine="720"/>
        <w:jc w:val="both"/>
        <w:rPr>
          <w:rFonts w:eastAsia="Calibri" w:cstheme="minorHAnsi"/>
          <w:sz w:val="24"/>
          <w:szCs w:val="24"/>
        </w:rPr>
      </w:pPr>
      <w:r w:rsidRPr="00D47190">
        <w:rPr>
          <w:rFonts w:eastAsia="Calibri" w:cstheme="minorHAnsi"/>
          <w:b/>
          <w:sz w:val="24"/>
          <w:szCs w:val="24"/>
        </w:rPr>
        <w:t xml:space="preserve">WHEREAS, </w:t>
      </w:r>
      <w:r w:rsidRPr="00D47190">
        <w:rPr>
          <w:rFonts w:eastAsia="Calibri" w:cstheme="minorHAnsi"/>
          <w:sz w:val="24"/>
          <w:szCs w:val="24"/>
        </w:rPr>
        <w:t xml:space="preserve">the Village has determined to adopt this Ordinance pursuant to its home rule powers and the Act to </w:t>
      </w:r>
      <w:r w:rsidR="00163B76">
        <w:rPr>
          <w:rFonts w:eastAsia="Calibri" w:cstheme="minorHAnsi"/>
          <w:sz w:val="24"/>
          <w:szCs w:val="24"/>
        </w:rPr>
        <w:t>affirm the gender identity or gender expression</w:t>
      </w:r>
      <w:r w:rsidR="007920BA">
        <w:rPr>
          <w:rFonts w:eastAsia="Calibri" w:cstheme="minorHAnsi"/>
          <w:sz w:val="24"/>
          <w:szCs w:val="24"/>
        </w:rPr>
        <w:t xml:space="preserve"> fundamental rights</w:t>
      </w:r>
      <w:r w:rsidRPr="00D47190">
        <w:rPr>
          <w:rFonts w:eastAsia="Calibri" w:cstheme="minorHAnsi"/>
          <w:sz w:val="24"/>
          <w:szCs w:val="24"/>
        </w:rPr>
        <w:t xml:space="preserve"> of individuals in Oak Park; and </w:t>
      </w:r>
    </w:p>
    <w:p w14:paraId="140B6533" w14:textId="77777777" w:rsidR="00D47190" w:rsidRPr="00D47190" w:rsidRDefault="00D47190" w:rsidP="00D47190">
      <w:pPr>
        <w:spacing w:after="0" w:line="240" w:lineRule="auto"/>
        <w:ind w:firstLine="720"/>
        <w:jc w:val="both"/>
        <w:rPr>
          <w:rFonts w:eastAsia="Calibri" w:cstheme="minorHAnsi"/>
          <w:b/>
          <w:sz w:val="24"/>
          <w:szCs w:val="24"/>
        </w:rPr>
      </w:pPr>
    </w:p>
    <w:p w14:paraId="025DBE02" w14:textId="4034A420" w:rsidR="00D47190" w:rsidRPr="00D47190" w:rsidRDefault="00D47190" w:rsidP="00D47190">
      <w:pPr>
        <w:spacing w:after="0" w:line="240" w:lineRule="auto"/>
        <w:ind w:firstLine="720"/>
        <w:jc w:val="both"/>
        <w:rPr>
          <w:rFonts w:eastAsia="Calibri" w:cstheme="minorHAnsi"/>
          <w:sz w:val="24"/>
          <w:szCs w:val="24"/>
        </w:rPr>
      </w:pPr>
      <w:r w:rsidRPr="00D47190">
        <w:rPr>
          <w:rFonts w:eastAsia="Calibri" w:cstheme="minorHAnsi"/>
          <w:b/>
          <w:sz w:val="24"/>
          <w:szCs w:val="24"/>
        </w:rPr>
        <w:t xml:space="preserve">WHEREAS, </w:t>
      </w:r>
      <w:r w:rsidRPr="00D47190">
        <w:rPr>
          <w:rFonts w:eastAsia="Calibri" w:cstheme="minorHAnsi"/>
          <w:sz w:val="24"/>
          <w:szCs w:val="24"/>
        </w:rPr>
        <w:t xml:space="preserve">access to </w:t>
      </w:r>
      <w:r w:rsidR="00DC29D0">
        <w:rPr>
          <w:rFonts w:eastAsia="Calibri" w:cstheme="minorHAnsi"/>
          <w:sz w:val="24"/>
          <w:szCs w:val="24"/>
        </w:rPr>
        <w:t>gender-affirming care</w:t>
      </w:r>
      <w:r w:rsidRPr="00D47190">
        <w:rPr>
          <w:rFonts w:eastAsia="Calibri" w:cstheme="minorHAnsi"/>
          <w:sz w:val="24"/>
          <w:szCs w:val="24"/>
        </w:rPr>
        <w:t xml:space="preserve"> is a human right </w:t>
      </w:r>
      <w:r w:rsidR="009149CA">
        <w:rPr>
          <w:rFonts w:eastAsia="Calibri" w:cstheme="minorHAnsi"/>
          <w:sz w:val="24"/>
          <w:szCs w:val="24"/>
        </w:rPr>
        <w:t xml:space="preserve">and decisions regarding such care </w:t>
      </w:r>
      <w:r w:rsidRPr="00D47190">
        <w:rPr>
          <w:rFonts w:eastAsia="Calibri" w:cstheme="minorHAnsi"/>
          <w:sz w:val="24"/>
          <w:szCs w:val="24"/>
        </w:rPr>
        <w:t xml:space="preserve">should </w:t>
      </w:r>
      <w:r w:rsidR="00DC29D0">
        <w:rPr>
          <w:rFonts w:eastAsia="Calibri" w:cstheme="minorHAnsi"/>
          <w:sz w:val="24"/>
          <w:szCs w:val="24"/>
        </w:rPr>
        <w:t xml:space="preserve">be made </w:t>
      </w:r>
      <w:r w:rsidR="009149CA">
        <w:rPr>
          <w:rFonts w:eastAsia="Calibri" w:cstheme="minorHAnsi"/>
          <w:sz w:val="24"/>
          <w:szCs w:val="24"/>
        </w:rPr>
        <w:t xml:space="preserve">by </w:t>
      </w:r>
      <w:r w:rsidR="00DC29D0">
        <w:rPr>
          <w:rFonts w:eastAsia="Calibri" w:cstheme="minorHAnsi"/>
          <w:sz w:val="24"/>
          <w:szCs w:val="24"/>
        </w:rPr>
        <w:t xml:space="preserve">a patient </w:t>
      </w:r>
      <w:r w:rsidR="009149CA">
        <w:rPr>
          <w:rFonts w:eastAsia="Calibri" w:cstheme="minorHAnsi"/>
          <w:sz w:val="24"/>
          <w:szCs w:val="24"/>
        </w:rPr>
        <w:t xml:space="preserve">with input from </w:t>
      </w:r>
      <w:r w:rsidR="00DC29D0">
        <w:rPr>
          <w:rFonts w:eastAsia="Calibri" w:cstheme="minorHAnsi"/>
          <w:sz w:val="24"/>
          <w:szCs w:val="24"/>
        </w:rPr>
        <w:t>their healthcare provider</w:t>
      </w:r>
      <w:r w:rsidRPr="00D47190">
        <w:rPr>
          <w:rFonts w:eastAsia="Calibri" w:cstheme="minorHAnsi"/>
          <w:sz w:val="24"/>
          <w:szCs w:val="24"/>
        </w:rPr>
        <w:t xml:space="preserve">; and </w:t>
      </w:r>
    </w:p>
    <w:p w14:paraId="614F15A3" w14:textId="77777777" w:rsidR="00D47190" w:rsidRPr="00D47190" w:rsidRDefault="00D47190" w:rsidP="00D47190">
      <w:pPr>
        <w:spacing w:after="0" w:line="240" w:lineRule="auto"/>
        <w:ind w:firstLine="720"/>
        <w:jc w:val="both"/>
        <w:rPr>
          <w:rFonts w:eastAsia="Calibri" w:cstheme="minorHAnsi"/>
          <w:sz w:val="24"/>
          <w:szCs w:val="24"/>
        </w:rPr>
      </w:pPr>
    </w:p>
    <w:p w14:paraId="31FDEFED" w14:textId="77777777" w:rsidR="00D47190" w:rsidRPr="00D47190" w:rsidRDefault="00D47190" w:rsidP="00D47190">
      <w:pPr>
        <w:spacing w:after="0" w:line="240" w:lineRule="auto"/>
        <w:ind w:firstLine="720"/>
        <w:jc w:val="both"/>
        <w:rPr>
          <w:rFonts w:eastAsia="Calibri" w:cstheme="minorHAnsi"/>
          <w:sz w:val="24"/>
          <w:szCs w:val="24"/>
        </w:rPr>
      </w:pPr>
      <w:r w:rsidRPr="00D47190">
        <w:rPr>
          <w:rFonts w:eastAsia="Calibri" w:cstheme="minorHAnsi"/>
          <w:b/>
          <w:sz w:val="24"/>
          <w:szCs w:val="24"/>
        </w:rPr>
        <w:t xml:space="preserve">WHEREAS, </w:t>
      </w:r>
      <w:r w:rsidR="007A36B5">
        <w:rPr>
          <w:rFonts w:eastAsia="Calibri" w:cstheme="minorHAnsi"/>
          <w:sz w:val="24"/>
          <w:szCs w:val="24"/>
        </w:rPr>
        <w:t xml:space="preserve">now </w:t>
      </w:r>
      <w:r w:rsidR="008447B6">
        <w:rPr>
          <w:rFonts w:eastAsia="Calibri" w:cstheme="minorHAnsi"/>
          <w:sz w:val="24"/>
          <w:szCs w:val="24"/>
        </w:rPr>
        <w:t>more than twenty states have banned or severely limited health care to align a young person’s body</w:t>
      </w:r>
      <w:r w:rsidR="00DC29D0">
        <w:rPr>
          <w:rFonts w:eastAsia="Calibri" w:cstheme="minorHAnsi"/>
          <w:sz w:val="24"/>
          <w:szCs w:val="24"/>
        </w:rPr>
        <w:t xml:space="preserve"> with their gender identity</w:t>
      </w:r>
      <w:r w:rsidRPr="00D47190">
        <w:rPr>
          <w:rFonts w:eastAsia="Calibri" w:cstheme="minorHAnsi"/>
          <w:sz w:val="24"/>
          <w:szCs w:val="24"/>
        </w:rPr>
        <w:t>; and</w:t>
      </w:r>
    </w:p>
    <w:p w14:paraId="75EA1C2E" w14:textId="77777777" w:rsidR="00D47190" w:rsidRPr="00D47190" w:rsidRDefault="00D47190" w:rsidP="00D47190">
      <w:pPr>
        <w:spacing w:after="0" w:line="240" w:lineRule="auto"/>
        <w:ind w:firstLine="720"/>
        <w:jc w:val="both"/>
        <w:rPr>
          <w:rFonts w:eastAsia="Calibri" w:cstheme="minorHAnsi"/>
          <w:sz w:val="24"/>
          <w:szCs w:val="24"/>
        </w:rPr>
      </w:pPr>
    </w:p>
    <w:p w14:paraId="3147FCAF" w14:textId="3E893079" w:rsidR="00D47190" w:rsidRPr="00D47190" w:rsidRDefault="00D47190" w:rsidP="00D47190">
      <w:pPr>
        <w:spacing w:after="0" w:line="240" w:lineRule="auto"/>
        <w:jc w:val="both"/>
        <w:rPr>
          <w:rFonts w:eastAsia="Calibri" w:cstheme="minorHAnsi"/>
          <w:iCs/>
          <w:sz w:val="24"/>
          <w:szCs w:val="24"/>
        </w:rPr>
      </w:pPr>
      <w:r w:rsidRPr="00D47190">
        <w:rPr>
          <w:rFonts w:eastAsia="Calibri" w:cstheme="minorHAnsi"/>
          <w:sz w:val="24"/>
          <w:szCs w:val="24"/>
        </w:rPr>
        <w:tab/>
      </w:r>
      <w:r w:rsidRPr="00D47190">
        <w:rPr>
          <w:rFonts w:eastAsia="Calibri" w:cstheme="minorHAnsi"/>
          <w:b/>
          <w:sz w:val="24"/>
          <w:szCs w:val="24"/>
        </w:rPr>
        <w:t xml:space="preserve">WHEREAS, </w:t>
      </w:r>
      <w:r w:rsidRPr="00D47190">
        <w:rPr>
          <w:rFonts w:eastAsia="Calibri" w:cstheme="minorHAnsi"/>
          <w:sz w:val="24"/>
          <w:szCs w:val="24"/>
        </w:rPr>
        <w:t xml:space="preserve">the </w:t>
      </w:r>
      <w:r w:rsidRPr="00D47190">
        <w:rPr>
          <w:rFonts w:eastAsia="Calibri" w:cstheme="minorHAnsi"/>
          <w:iCs/>
          <w:sz w:val="24"/>
          <w:szCs w:val="24"/>
        </w:rPr>
        <w:t xml:space="preserve">Village </w:t>
      </w:r>
      <w:r w:rsidR="009149CA">
        <w:rPr>
          <w:rFonts w:eastAsia="Calibri" w:cstheme="minorHAnsi"/>
          <w:iCs/>
          <w:sz w:val="24"/>
          <w:szCs w:val="24"/>
        </w:rPr>
        <w:t xml:space="preserve">strives to </w:t>
      </w:r>
      <w:r w:rsidRPr="00D47190">
        <w:rPr>
          <w:rFonts w:eastAsia="Calibri" w:cstheme="minorHAnsi"/>
          <w:iCs/>
          <w:sz w:val="24"/>
          <w:szCs w:val="24"/>
        </w:rPr>
        <w:t xml:space="preserve">serve as a model and commit to support and defend </w:t>
      </w:r>
      <w:r w:rsidR="00A12ED5">
        <w:rPr>
          <w:rFonts w:eastAsia="Calibri" w:cstheme="minorHAnsi"/>
          <w:iCs/>
          <w:sz w:val="24"/>
          <w:szCs w:val="24"/>
        </w:rPr>
        <w:t xml:space="preserve">a person’s right to bodily autonomy and </w:t>
      </w:r>
      <w:r w:rsidRPr="00D47190">
        <w:rPr>
          <w:rFonts w:eastAsia="Calibri" w:cstheme="minorHAnsi"/>
          <w:iCs/>
          <w:sz w:val="24"/>
          <w:szCs w:val="24"/>
        </w:rPr>
        <w:t xml:space="preserve">the right to </w:t>
      </w:r>
      <w:r w:rsidR="007A36B5">
        <w:rPr>
          <w:rFonts w:eastAsia="Calibri" w:cstheme="minorHAnsi"/>
          <w:iCs/>
          <w:sz w:val="24"/>
          <w:szCs w:val="24"/>
        </w:rPr>
        <w:t xml:space="preserve">access gender affirming health </w:t>
      </w:r>
      <w:r w:rsidRPr="00D47190">
        <w:rPr>
          <w:rFonts w:eastAsia="Calibri" w:cstheme="minorHAnsi"/>
          <w:iCs/>
          <w:sz w:val="24"/>
          <w:szCs w:val="24"/>
        </w:rPr>
        <w:t>services; and</w:t>
      </w:r>
    </w:p>
    <w:p w14:paraId="31B595AC" w14:textId="77777777" w:rsidR="00D47190" w:rsidRPr="00D47190" w:rsidRDefault="00D47190" w:rsidP="00D47190">
      <w:pPr>
        <w:spacing w:after="0" w:line="240" w:lineRule="auto"/>
        <w:jc w:val="both"/>
        <w:rPr>
          <w:rFonts w:eastAsia="Calibri" w:cstheme="minorHAnsi"/>
          <w:sz w:val="24"/>
          <w:szCs w:val="24"/>
        </w:rPr>
      </w:pPr>
    </w:p>
    <w:p w14:paraId="1E3BC7FF" w14:textId="1410F8C9" w:rsidR="00D47190" w:rsidRPr="00D47190" w:rsidRDefault="00D47190" w:rsidP="00D47190">
      <w:pPr>
        <w:spacing w:after="0" w:line="240" w:lineRule="auto"/>
        <w:ind w:firstLine="720"/>
        <w:jc w:val="both"/>
        <w:rPr>
          <w:rFonts w:eastAsia="Calibri" w:cstheme="minorHAnsi"/>
          <w:sz w:val="24"/>
          <w:szCs w:val="24"/>
        </w:rPr>
      </w:pPr>
      <w:r w:rsidRPr="00D47190">
        <w:rPr>
          <w:rFonts w:eastAsia="Calibri" w:cstheme="minorHAnsi"/>
          <w:b/>
          <w:sz w:val="24"/>
          <w:szCs w:val="24"/>
        </w:rPr>
        <w:t>WHEREAS,</w:t>
      </w:r>
      <w:r w:rsidRPr="00D47190">
        <w:rPr>
          <w:rFonts w:eastAsia="Calibri" w:cstheme="minorHAnsi"/>
          <w:sz w:val="24"/>
          <w:szCs w:val="24"/>
        </w:rPr>
        <w:t xml:space="preserve"> the Village will continue to uphold everyone’s equality and liberty by protecting </w:t>
      </w:r>
      <w:r w:rsidR="00A25E84">
        <w:rPr>
          <w:rFonts w:eastAsia="Calibri" w:cstheme="minorHAnsi"/>
          <w:sz w:val="24"/>
          <w:szCs w:val="24"/>
        </w:rPr>
        <w:t>their fundamental rights to make autonomous decisions about expression of gender identity and access to safe and legal gender affirming care</w:t>
      </w:r>
      <w:r w:rsidRPr="00D47190">
        <w:rPr>
          <w:rFonts w:eastAsia="Calibri" w:cstheme="minorHAnsi"/>
          <w:sz w:val="24"/>
          <w:szCs w:val="24"/>
        </w:rPr>
        <w:t xml:space="preserve">, welcoming anyone to Oak Park to fully exercise their </w:t>
      </w:r>
      <w:r w:rsidR="00A25E84">
        <w:rPr>
          <w:rFonts w:eastAsia="Calibri" w:cstheme="minorHAnsi"/>
          <w:sz w:val="24"/>
          <w:szCs w:val="24"/>
        </w:rPr>
        <w:t>gender identity rights</w:t>
      </w:r>
      <w:r w:rsidRPr="00D47190">
        <w:rPr>
          <w:rFonts w:eastAsia="Calibri" w:cstheme="minorHAnsi"/>
          <w:sz w:val="24"/>
          <w:szCs w:val="24"/>
        </w:rPr>
        <w:t>; and</w:t>
      </w:r>
    </w:p>
    <w:p w14:paraId="76743350" w14:textId="77777777" w:rsidR="00D47190" w:rsidRPr="00D47190" w:rsidRDefault="00D47190" w:rsidP="00D47190">
      <w:pPr>
        <w:spacing w:after="0" w:line="240" w:lineRule="auto"/>
        <w:ind w:firstLine="720"/>
        <w:jc w:val="both"/>
        <w:rPr>
          <w:rFonts w:eastAsia="Calibri" w:cstheme="minorHAnsi"/>
          <w:b/>
          <w:sz w:val="24"/>
          <w:szCs w:val="24"/>
        </w:rPr>
      </w:pPr>
    </w:p>
    <w:p w14:paraId="62E16E4F" w14:textId="77777777" w:rsidR="00D47190" w:rsidRPr="00D47190" w:rsidRDefault="00D47190" w:rsidP="00D47190">
      <w:pPr>
        <w:spacing w:after="0" w:line="240" w:lineRule="auto"/>
        <w:ind w:firstLine="720"/>
        <w:jc w:val="both"/>
        <w:rPr>
          <w:rFonts w:eastAsia="Calibri" w:cstheme="minorHAnsi"/>
          <w:sz w:val="24"/>
          <w:szCs w:val="24"/>
        </w:rPr>
      </w:pPr>
      <w:r w:rsidRPr="00D47190">
        <w:rPr>
          <w:rFonts w:eastAsia="Calibri" w:cstheme="minorHAnsi"/>
          <w:b/>
          <w:sz w:val="24"/>
          <w:szCs w:val="24"/>
        </w:rPr>
        <w:t>WHEREAS,</w:t>
      </w:r>
      <w:r w:rsidRPr="00D47190">
        <w:rPr>
          <w:rFonts w:eastAsia="Calibri" w:cstheme="minorHAnsi"/>
          <w:sz w:val="24"/>
          <w:szCs w:val="24"/>
        </w:rPr>
        <w:t xml:space="preserve"> the adoption of this Ordinance is intended to demonstrate the Village’s strong commitment to safe and legal access to </w:t>
      </w:r>
      <w:r w:rsidR="009C3F9C">
        <w:rPr>
          <w:rFonts w:eastAsia="Calibri" w:cstheme="minorHAnsi"/>
          <w:sz w:val="24"/>
          <w:szCs w:val="24"/>
        </w:rPr>
        <w:t>gender affirming care</w:t>
      </w:r>
      <w:r w:rsidRPr="00D47190">
        <w:rPr>
          <w:rFonts w:eastAsia="Calibri" w:cstheme="minorHAnsi"/>
          <w:sz w:val="24"/>
          <w:szCs w:val="24"/>
        </w:rPr>
        <w:t xml:space="preserve"> services and products. </w:t>
      </w:r>
    </w:p>
    <w:p w14:paraId="7D51BC6A" w14:textId="77777777" w:rsidR="00D47190" w:rsidRPr="00D47190" w:rsidRDefault="00D47190" w:rsidP="00D47190">
      <w:pPr>
        <w:spacing w:after="0" w:line="240" w:lineRule="auto"/>
        <w:jc w:val="both"/>
        <w:rPr>
          <w:rFonts w:cstheme="minorHAnsi"/>
          <w:sz w:val="24"/>
          <w:szCs w:val="24"/>
        </w:rPr>
      </w:pPr>
    </w:p>
    <w:p w14:paraId="43B6280B" w14:textId="77777777" w:rsidR="00D47190" w:rsidRPr="00D47190" w:rsidRDefault="00D47190" w:rsidP="00D47190">
      <w:pPr>
        <w:spacing w:after="0" w:line="240" w:lineRule="auto"/>
        <w:jc w:val="both"/>
        <w:rPr>
          <w:rFonts w:cstheme="minorHAnsi"/>
          <w:sz w:val="24"/>
          <w:szCs w:val="24"/>
        </w:rPr>
      </w:pPr>
      <w:r w:rsidRPr="00D47190">
        <w:rPr>
          <w:rFonts w:cstheme="minorHAnsi"/>
          <w:sz w:val="24"/>
          <w:szCs w:val="24"/>
        </w:rPr>
        <w:tab/>
      </w:r>
      <w:r w:rsidRPr="00D47190">
        <w:rPr>
          <w:rFonts w:cstheme="minorHAnsi"/>
          <w:b/>
          <w:sz w:val="24"/>
          <w:szCs w:val="24"/>
        </w:rPr>
        <w:t>NOW THEREFORE, BE IT ORDAINED</w:t>
      </w:r>
      <w:r w:rsidRPr="00D47190">
        <w:rPr>
          <w:rFonts w:cstheme="minorHAnsi"/>
          <w:sz w:val="24"/>
          <w:szCs w:val="24"/>
        </w:rPr>
        <w:t xml:space="preserve"> by the President and Board of Trustees of the Village of Oak Park, Cook County, Illinois, in the exercise of their home rule powers, as follows:</w:t>
      </w:r>
    </w:p>
    <w:p w14:paraId="3E2AF973" w14:textId="77777777" w:rsidR="00D47190" w:rsidRPr="00D47190" w:rsidRDefault="00D47190" w:rsidP="00D47190">
      <w:pPr>
        <w:spacing w:after="0" w:line="240" w:lineRule="auto"/>
        <w:jc w:val="both"/>
        <w:rPr>
          <w:rFonts w:cstheme="minorHAnsi"/>
          <w:sz w:val="24"/>
          <w:szCs w:val="24"/>
        </w:rPr>
      </w:pPr>
    </w:p>
    <w:p w14:paraId="11B0873F" w14:textId="77777777" w:rsidR="00D47190" w:rsidRPr="00D47190" w:rsidRDefault="00D47190" w:rsidP="00D47190">
      <w:pPr>
        <w:spacing w:after="0" w:line="240" w:lineRule="auto"/>
        <w:jc w:val="both"/>
        <w:rPr>
          <w:rFonts w:cstheme="minorHAnsi"/>
          <w:sz w:val="24"/>
          <w:szCs w:val="24"/>
        </w:rPr>
      </w:pPr>
      <w:r w:rsidRPr="00D47190">
        <w:rPr>
          <w:rFonts w:cstheme="minorHAnsi"/>
          <w:b/>
          <w:sz w:val="24"/>
          <w:szCs w:val="24"/>
        </w:rPr>
        <w:tab/>
        <w:t>Section 1.</w:t>
      </w:r>
      <w:r w:rsidRPr="00D47190">
        <w:rPr>
          <w:rFonts w:cstheme="minorHAnsi"/>
          <w:sz w:val="24"/>
          <w:szCs w:val="24"/>
        </w:rPr>
        <w:t xml:space="preserve"> </w:t>
      </w:r>
      <w:r w:rsidRPr="00D47190">
        <w:rPr>
          <w:rFonts w:cstheme="minorHAnsi"/>
          <w:sz w:val="24"/>
          <w:szCs w:val="24"/>
        </w:rPr>
        <w:tab/>
      </w:r>
      <w:r w:rsidRPr="00D47190">
        <w:rPr>
          <w:rFonts w:cstheme="minorHAnsi"/>
          <w:b/>
          <w:sz w:val="24"/>
          <w:szCs w:val="24"/>
        </w:rPr>
        <w:t>Recitals Incorporated.</w:t>
      </w:r>
      <w:r w:rsidRPr="00D47190">
        <w:rPr>
          <w:rFonts w:cstheme="minorHAnsi"/>
          <w:sz w:val="24"/>
          <w:szCs w:val="24"/>
        </w:rPr>
        <w:t xml:space="preserve"> The above recitals are incorporated herein as though fully set forth.</w:t>
      </w:r>
    </w:p>
    <w:p w14:paraId="3C4146E4" w14:textId="77777777" w:rsidR="00D47190" w:rsidRPr="00D47190" w:rsidRDefault="00D47190" w:rsidP="00D47190">
      <w:pPr>
        <w:spacing w:after="0" w:line="240" w:lineRule="auto"/>
        <w:jc w:val="both"/>
        <w:rPr>
          <w:rFonts w:cstheme="minorHAnsi"/>
          <w:sz w:val="24"/>
          <w:szCs w:val="24"/>
        </w:rPr>
      </w:pPr>
    </w:p>
    <w:p w14:paraId="2F496BDA" w14:textId="77777777" w:rsidR="00D47190" w:rsidRPr="00D47190" w:rsidRDefault="00D47190" w:rsidP="00D47190">
      <w:pPr>
        <w:spacing w:after="0" w:line="240" w:lineRule="auto"/>
        <w:jc w:val="both"/>
        <w:rPr>
          <w:rFonts w:cstheme="minorHAnsi"/>
          <w:sz w:val="24"/>
          <w:szCs w:val="24"/>
        </w:rPr>
      </w:pPr>
      <w:r w:rsidRPr="00D47190">
        <w:rPr>
          <w:rFonts w:cstheme="minorHAnsi"/>
          <w:sz w:val="24"/>
          <w:szCs w:val="24"/>
        </w:rPr>
        <w:tab/>
      </w:r>
      <w:r w:rsidRPr="00D47190">
        <w:rPr>
          <w:rFonts w:cstheme="minorHAnsi"/>
          <w:b/>
          <w:sz w:val="24"/>
          <w:szCs w:val="24"/>
        </w:rPr>
        <w:t>Section 2.</w:t>
      </w:r>
      <w:r w:rsidRPr="00D47190">
        <w:rPr>
          <w:rFonts w:cstheme="minorHAnsi"/>
          <w:sz w:val="24"/>
          <w:szCs w:val="24"/>
        </w:rPr>
        <w:t xml:space="preserve"> </w:t>
      </w:r>
      <w:r w:rsidRPr="00D47190">
        <w:rPr>
          <w:rFonts w:cstheme="minorHAnsi"/>
          <w:sz w:val="24"/>
          <w:szCs w:val="24"/>
        </w:rPr>
        <w:tab/>
      </w:r>
      <w:r w:rsidRPr="00D47190">
        <w:rPr>
          <w:rFonts w:cstheme="minorHAnsi"/>
          <w:b/>
          <w:sz w:val="24"/>
          <w:szCs w:val="24"/>
        </w:rPr>
        <w:t>Village Code Amended.</w:t>
      </w:r>
      <w:r w:rsidRPr="00D47190">
        <w:rPr>
          <w:rFonts w:cstheme="minorHAnsi"/>
          <w:sz w:val="24"/>
          <w:szCs w:val="24"/>
        </w:rPr>
        <w:t xml:space="preserve">  Chapter 13 (“Human Rights”) of the Oak Park Village Code is amended to add a new Article </w:t>
      </w:r>
      <w:r w:rsidR="00E6345C">
        <w:rPr>
          <w:rFonts w:cstheme="minorHAnsi"/>
          <w:sz w:val="24"/>
          <w:szCs w:val="24"/>
        </w:rPr>
        <w:t>9</w:t>
      </w:r>
      <w:r w:rsidRPr="00D47190">
        <w:rPr>
          <w:rFonts w:cstheme="minorHAnsi"/>
          <w:sz w:val="24"/>
          <w:szCs w:val="24"/>
        </w:rPr>
        <w:t xml:space="preserve"> (“</w:t>
      </w:r>
      <w:r w:rsidR="00E6345C">
        <w:rPr>
          <w:rFonts w:cstheme="minorHAnsi"/>
          <w:sz w:val="24"/>
          <w:szCs w:val="24"/>
        </w:rPr>
        <w:t>Gender Affirming Care</w:t>
      </w:r>
      <w:r w:rsidRPr="00D47190">
        <w:rPr>
          <w:rFonts w:cstheme="minorHAnsi"/>
          <w:sz w:val="24"/>
          <w:szCs w:val="24"/>
        </w:rPr>
        <w:t>”) to read as follows:</w:t>
      </w:r>
    </w:p>
    <w:p w14:paraId="2EBB4790" w14:textId="77777777" w:rsidR="00D47190" w:rsidRPr="00D47190" w:rsidRDefault="00D47190" w:rsidP="00D47190">
      <w:pPr>
        <w:spacing w:after="0" w:line="240" w:lineRule="auto"/>
        <w:jc w:val="both"/>
        <w:rPr>
          <w:rFonts w:cstheme="minorHAnsi"/>
          <w:sz w:val="24"/>
          <w:szCs w:val="24"/>
        </w:rPr>
      </w:pPr>
    </w:p>
    <w:p w14:paraId="61B53015" w14:textId="77777777" w:rsidR="00D47190" w:rsidRPr="00D47190" w:rsidRDefault="00D47190" w:rsidP="00D47190">
      <w:pPr>
        <w:spacing w:after="0" w:line="240" w:lineRule="auto"/>
        <w:jc w:val="center"/>
        <w:rPr>
          <w:rFonts w:cstheme="minorHAnsi"/>
          <w:b/>
          <w:sz w:val="24"/>
          <w:szCs w:val="24"/>
        </w:rPr>
      </w:pPr>
      <w:r w:rsidRPr="00D47190">
        <w:rPr>
          <w:rFonts w:cstheme="minorHAnsi"/>
          <w:b/>
          <w:sz w:val="24"/>
          <w:szCs w:val="24"/>
        </w:rPr>
        <w:t xml:space="preserve">ARTICLE </w:t>
      </w:r>
      <w:r w:rsidR="007A36B5">
        <w:rPr>
          <w:rFonts w:cstheme="minorHAnsi"/>
          <w:b/>
          <w:sz w:val="24"/>
          <w:szCs w:val="24"/>
        </w:rPr>
        <w:t>9</w:t>
      </w:r>
    </w:p>
    <w:p w14:paraId="7F028E7C" w14:textId="77777777" w:rsidR="00D47190" w:rsidRPr="00D47190" w:rsidRDefault="007A36B5" w:rsidP="00D47190">
      <w:pPr>
        <w:jc w:val="center"/>
        <w:rPr>
          <w:rFonts w:eastAsia="Arial" w:cstheme="minorHAnsi"/>
          <w:b/>
          <w:bCs/>
          <w:sz w:val="24"/>
          <w:szCs w:val="24"/>
        </w:rPr>
      </w:pPr>
      <w:r>
        <w:rPr>
          <w:rFonts w:eastAsia="Arial" w:cstheme="minorHAnsi"/>
          <w:b/>
          <w:bCs/>
          <w:sz w:val="24"/>
          <w:szCs w:val="24"/>
        </w:rPr>
        <w:t>GENDER AFFIRMING CARE</w:t>
      </w:r>
    </w:p>
    <w:p w14:paraId="20212ABA" w14:textId="77777777" w:rsidR="00D47190" w:rsidRPr="00D47190" w:rsidRDefault="00D47190" w:rsidP="00D47190">
      <w:pPr>
        <w:widowControl w:val="0"/>
        <w:spacing w:after="0" w:line="240" w:lineRule="auto"/>
        <w:ind w:right="648"/>
        <w:rPr>
          <w:rFonts w:eastAsia="Arial" w:cstheme="minorHAnsi"/>
          <w:b/>
          <w:spacing w:val="8"/>
          <w:sz w:val="24"/>
          <w:szCs w:val="24"/>
        </w:rPr>
      </w:pPr>
      <w:r w:rsidRPr="00D47190">
        <w:rPr>
          <w:rFonts w:eastAsia="Arial" w:cstheme="minorHAnsi"/>
          <w:b/>
          <w:spacing w:val="8"/>
          <w:sz w:val="24"/>
          <w:szCs w:val="24"/>
        </w:rPr>
        <w:t>13-</w:t>
      </w:r>
      <w:r w:rsidR="000A298D">
        <w:rPr>
          <w:rFonts w:eastAsia="Arial" w:cstheme="minorHAnsi"/>
          <w:b/>
          <w:spacing w:val="8"/>
          <w:sz w:val="24"/>
          <w:szCs w:val="24"/>
        </w:rPr>
        <w:t>9</w:t>
      </w:r>
      <w:r w:rsidRPr="00D47190">
        <w:rPr>
          <w:rFonts w:eastAsia="Arial" w:cstheme="minorHAnsi"/>
          <w:b/>
          <w:spacing w:val="8"/>
          <w:sz w:val="24"/>
          <w:szCs w:val="24"/>
        </w:rPr>
        <w:t>-1:</w:t>
      </w:r>
      <w:r w:rsidRPr="00D47190">
        <w:rPr>
          <w:rFonts w:eastAsia="Arial" w:cstheme="minorHAnsi"/>
          <w:b/>
          <w:spacing w:val="8"/>
          <w:sz w:val="24"/>
          <w:szCs w:val="24"/>
        </w:rPr>
        <w:tab/>
        <w:t>Purpose and Intent</w:t>
      </w:r>
    </w:p>
    <w:p w14:paraId="3370E8D4" w14:textId="77777777" w:rsidR="00D47190" w:rsidRPr="00D47190" w:rsidRDefault="00D47190" w:rsidP="00D47190">
      <w:pPr>
        <w:widowControl w:val="0"/>
        <w:spacing w:after="0" w:line="240" w:lineRule="auto"/>
        <w:ind w:right="648"/>
        <w:rPr>
          <w:rFonts w:eastAsia="Arial" w:cstheme="minorHAnsi"/>
          <w:b/>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-2:</w:t>
      </w:r>
      <w:r w:rsidRPr="00D47190">
        <w:rPr>
          <w:rFonts w:eastAsia="Arial" w:cstheme="minorHAnsi"/>
          <w:b/>
          <w:sz w:val="24"/>
          <w:szCs w:val="24"/>
        </w:rPr>
        <w:tab/>
      </w:r>
      <w:r w:rsidRPr="00D47190">
        <w:rPr>
          <w:rFonts w:eastAsia="Arial" w:cstheme="minorHAnsi"/>
          <w:b/>
          <w:sz w:val="24"/>
          <w:szCs w:val="24"/>
        </w:rPr>
        <w:tab/>
        <w:t>Definitions</w:t>
      </w:r>
    </w:p>
    <w:p w14:paraId="0DA0DCE5" w14:textId="77777777" w:rsidR="00D47190" w:rsidRPr="00D47190" w:rsidRDefault="00D47190" w:rsidP="00D47190">
      <w:pPr>
        <w:widowControl w:val="0"/>
        <w:spacing w:after="0" w:line="240" w:lineRule="auto"/>
        <w:ind w:right="648"/>
        <w:rPr>
          <w:rFonts w:eastAsia="Arial" w:cstheme="minorHAnsi"/>
          <w:b/>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-3:</w:t>
      </w:r>
      <w:r w:rsidRPr="00D47190">
        <w:rPr>
          <w:rFonts w:eastAsia="Arial" w:cstheme="minorHAnsi"/>
          <w:b/>
          <w:sz w:val="24"/>
          <w:szCs w:val="24"/>
        </w:rPr>
        <w:tab/>
      </w:r>
      <w:r w:rsidRPr="00D47190">
        <w:rPr>
          <w:rFonts w:eastAsia="Arial" w:cstheme="minorHAnsi"/>
          <w:b/>
          <w:sz w:val="24"/>
          <w:szCs w:val="24"/>
        </w:rPr>
        <w:tab/>
        <w:t xml:space="preserve">Limitation on Enforcement Related to Reproductive Health Care </w:t>
      </w:r>
    </w:p>
    <w:p w14:paraId="6F46E26E" w14:textId="77777777" w:rsidR="00D47190" w:rsidRPr="00D47190" w:rsidRDefault="00D47190" w:rsidP="00D47190">
      <w:pPr>
        <w:widowControl w:val="0"/>
        <w:spacing w:after="0" w:line="240" w:lineRule="auto"/>
        <w:ind w:right="648"/>
        <w:rPr>
          <w:rFonts w:eastAsia="Arial" w:cstheme="minorHAnsi"/>
          <w:b/>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-4:</w:t>
      </w:r>
      <w:r w:rsidRPr="00D47190">
        <w:rPr>
          <w:rFonts w:eastAsia="Arial" w:cstheme="minorHAnsi"/>
          <w:b/>
          <w:sz w:val="24"/>
          <w:szCs w:val="24"/>
        </w:rPr>
        <w:tab/>
      </w:r>
      <w:r w:rsidRPr="00D47190">
        <w:rPr>
          <w:rFonts w:eastAsia="Arial" w:cstheme="minorHAnsi"/>
          <w:b/>
          <w:sz w:val="24"/>
          <w:szCs w:val="24"/>
        </w:rPr>
        <w:tab/>
        <w:t>Requesting Information Prohibited</w:t>
      </w:r>
    </w:p>
    <w:p w14:paraId="0D697A5E" w14:textId="77777777" w:rsidR="00D47190" w:rsidRPr="00D47190" w:rsidRDefault="00D47190" w:rsidP="00D47190">
      <w:pPr>
        <w:widowControl w:val="0"/>
        <w:spacing w:after="0" w:line="240" w:lineRule="auto"/>
        <w:ind w:right="648"/>
        <w:rPr>
          <w:rFonts w:eastAsia="Arial" w:cstheme="minorHAnsi"/>
          <w:b/>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-5:</w:t>
      </w:r>
      <w:r w:rsidRPr="00D47190">
        <w:rPr>
          <w:rFonts w:eastAsia="Arial" w:cstheme="minorHAnsi"/>
          <w:b/>
          <w:sz w:val="24"/>
          <w:szCs w:val="24"/>
        </w:rPr>
        <w:tab/>
      </w:r>
      <w:r w:rsidRPr="00D47190">
        <w:rPr>
          <w:rFonts w:eastAsia="Arial" w:cstheme="minorHAnsi"/>
          <w:b/>
          <w:sz w:val="24"/>
          <w:szCs w:val="24"/>
        </w:rPr>
        <w:tab/>
        <w:t>Objection to Subpoena or Requests for Information</w:t>
      </w:r>
    </w:p>
    <w:p w14:paraId="22882AE9" w14:textId="77777777" w:rsidR="00D47190" w:rsidRPr="00D47190" w:rsidRDefault="00D47190" w:rsidP="00D47190">
      <w:pPr>
        <w:widowControl w:val="0"/>
        <w:spacing w:after="0" w:line="240" w:lineRule="auto"/>
        <w:ind w:right="648"/>
        <w:rPr>
          <w:rFonts w:eastAsia="Arial" w:cstheme="minorHAnsi"/>
          <w:b/>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-6:</w:t>
      </w:r>
      <w:r w:rsidRPr="00D47190">
        <w:rPr>
          <w:rFonts w:eastAsia="Arial" w:cstheme="minorHAnsi"/>
          <w:b/>
          <w:sz w:val="24"/>
          <w:szCs w:val="24"/>
        </w:rPr>
        <w:tab/>
      </w:r>
      <w:r w:rsidRPr="00D47190">
        <w:rPr>
          <w:rFonts w:eastAsia="Arial" w:cstheme="minorHAnsi"/>
          <w:b/>
          <w:sz w:val="24"/>
          <w:szCs w:val="24"/>
        </w:rPr>
        <w:tab/>
        <w:t xml:space="preserve">Incorporation of the </w:t>
      </w:r>
      <w:r w:rsidR="00460041">
        <w:rPr>
          <w:rFonts w:eastAsia="Arial" w:cstheme="minorHAnsi"/>
          <w:b/>
          <w:sz w:val="24"/>
          <w:szCs w:val="24"/>
        </w:rPr>
        <w:t>Illinois Lawful Health Care Activity Act</w:t>
      </w:r>
      <w:r w:rsidRPr="00D47190">
        <w:rPr>
          <w:rFonts w:eastAsia="Arial" w:cstheme="minorHAnsi"/>
          <w:b/>
          <w:sz w:val="24"/>
          <w:szCs w:val="24"/>
        </w:rPr>
        <w:t>; Conflict</w:t>
      </w:r>
    </w:p>
    <w:p w14:paraId="5CE3006A" w14:textId="77777777" w:rsidR="00D47190" w:rsidRPr="00D47190" w:rsidRDefault="00D47190" w:rsidP="00D47190">
      <w:pPr>
        <w:widowControl w:val="0"/>
        <w:spacing w:after="0" w:line="240" w:lineRule="auto"/>
        <w:ind w:right="648"/>
        <w:rPr>
          <w:rFonts w:eastAsia="Arial" w:cstheme="minorHAnsi"/>
          <w:b/>
          <w:sz w:val="24"/>
          <w:szCs w:val="24"/>
        </w:rPr>
      </w:pPr>
    </w:p>
    <w:p w14:paraId="0B93BF33" w14:textId="55D7A31E" w:rsidR="00D47190" w:rsidRPr="00D47190" w:rsidRDefault="00D47190" w:rsidP="00D47190">
      <w:pPr>
        <w:tabs>
          <w:tab w:val="left" w:pos="1025"/>
        </w:tabs>
        <w:spacing w:after="0" w:line="240" w:lineRule="auto"/>
        <w:jc w:val="both"/>
        <w:rPr>
          <w:rFonts w:cstheme="minorHAnsi"/>
          <w:sz w:val="24"/>
          <w:szCs w:val="24"/>
        </w:rPr>
      </w:pPr>
      <w:r w:rsidRPr="00D47190">
        <w:rPr>
          <w:rFonts w:cstheme="minorHAnsi"/>
          <w:b/>
          <w:sz w:val="24"/>
          <w:szCs w:val="24"/>
        </w:rPr>
        <w:t>13-</w:t>
      </w:r>
      <w:r w:rsidR="000A298D">
        <w:rPr>
          <w:rFonts w:cstheme="minorHAnsi"/>
          <w:b/>
          <w:sz w:val="24"/>
          <w:szCs w:val="24"/>
        </w:rPr>
        <w:t>9</w:t>
      </w:r>
      <w:r w:rsidRPr="00D47190">
        <w:rPr>
          <w:rFonts w:cstheme="minorHAnsi"/>
          <w:b/>
          <w:sz w:val="24"/>
          <w:szCs w:val="24"/>
        </w:rPr>
        <w:t>-1:</w:t>
      </w:r>
      <w:r w:rsidRPr="00D47190">
        <w:rPr>
          <w:rFonts w:cstheme="minorHAnsi"/>
          <w:b/>
          <w:sz w:val="24"/>
          <w:szCs w:val="24"/>
        </w:rPr>
        <w:tab/>
        <w:t>PURPOSE AND INTENT</w:t>
      </w:r>
      <w:r w:rsidRPr="00D47190">
        <w:rPr>
          <w:rFonts w:cstheme="minorHAnsi"/>
          <w:sz w:val="24"/>
          <w:szCs w:val="24"/>
        </w:rPr>
        <w:t>:</w:t>
      </w:r>
      <w:r w:rsidRPr="00D47190">
        <w:rPr>
          <w:rFonts w:cstheme="minorHAnsi"/>
          <w:b/>
          <w:bCs/>
          <w:sz w:val="24"/>
          <w:szCs w:val="24"/>
        </w:rPr>
        <w:t xml:space="preserve">   </w:t>
      </w:r>
      <w:r w:rsidRPr="00D47190">
        <w:rPr>
          <w:rFonts w:cstheme="minorHAnsi"/>
          <w:sz w:val="24"/>
          <w:szCs w:val="24"/>
        </w:rPr>
        <w:t>The purpose</w:t>
      </w:r>
      <w:r w:rsidR="009149CA">
        <w:rPr>
          <w:rFonts w:cstheme="minorHAnsi"/>
          <w:sz w:val="24"/>
          <w:szCs w:val="24"/>
        </w:rPr>
        <w:t>s</w:t>
      </w:r>
      <w:r w:rsidRPr="00D47190">
        <w:rPr>
          <w:rFonts w:cstheme="minorHAnsi"/>
          <w:sz w:val="24"/>
          <w:szCs w:val="24"/>
        </w:rPr>
        <w:t xml:space="preserve"> of this article </w:t>
      </w:r>
      <w:r w:rsidR="009149CA">
        <w:rPr>
          <w:rFonts w:cstheme="minorHAnsi"/>
          <w:sz w:val="24"/>
          <w:szCs w:val="24"/>
        </w:rPr>
        <w:t>include</w:t>
      </w:r>
      <w:r w:rsidR="009149CA" w:rsidRPr="00D47190">
        <w:rPr>
          <w:rFonts w:cstheme="minorHAnsi"/>
          <w:sz w:val="24"/>
          <w:szCs w:val="24"/>
        </w:rPr>
        <w:t xml:space="preserve"> </w:t>
      </w:r>
      <w:r w:rsidRPr="00D47190">
        <w:rPr>
          <w:rFonts w:cstheme="minorHAnsi"/>
          <w:sz w:val="24"/>
          <w:szCs w:val="24"/>
        </w:rPr>
        <w:t>protect</w:t>
      </w:r>
      <w:r w:rsidR="009149CA">
        <w:rPr>
          <w:rFonts w:cstheme="minorHAnsi"/>
          <w:sz w:val="24"/>
          <w:szCs w:val="24"/>
        </w:rPr>
        <w:t>ing</w:t>
      </w:r>
      <w:r w:rsidRPr="00D47190">
        <w:rPr>
          <w:rFonts w:cstheme="minorHAnsi"/>
          <w:sz w:val="24"/>
          <w:szCs w:val="24"/>
        </w:rPr>
        <w:t xml:space="preserve"> </w:t>
      </w:r>
      <w:r w:rsidR="00A12ED5">
        <w:rPr>
          <w:rFonts w:cstheme="minorHAnsi"/>
          <w:sz w:val="24"/>
          <w:szCs w:val="24"/>
        </w:rPr>
        <w:t xml:space="preserve">all persons’ bodily autonomy, but particularly in the area of gender identity </w:t>
      </w:r>
      <w:r w:rsidRPr="00D47190">
        <w:rPr>
          <w:rFonts w:cstheme="minorHAnsi"/>
          <w:sz w:val="24"/>
          <w:szCs w:val="24"/>
        </w:rPr>
        <w:t xml:space="preserve">and to support access to the full scope of quality </w:t>
      </w:r>
      <w:r w:rsidR="00A12ED5">
        <w:rPr>
          <w:rFonts w:cstheme="minorHAnsi"/>
          <w:sz w:val="24"/>
          <w:szCs w:val="24"/>
        </w:rPr>
        <w:t>gender affirming care</w:t>
      </w:r>
      <w:r w:rsidRPr="00D47190">
        <w:rPr>
          <w:rFonts w:cstheme="minorHAnsi"/>
          <w:sz w:val="24"/>
          <w:szCs w:val="24"/>
        </w:rPr>
        <w:t xml:space="preserve"> for all in the Village</w:t>
      </w:r>
      <w:r w:rsidR="009149CA">
        <w:rPr>
          <w:rFonts w:cstheme="minorHAnsi"/>
          <w:sz w:val="24"/>
          <w:szCs w:val="24"/>
        </w:rPr>
        <w:t>, establishing</w:t>
      </w:r>
      <w:r w:rsidR="00D17893" w:rsidRPr="00D47190">
        <w:rPr>
          <w:rFonts w:eastAsia="Calibri" w:cs="Times New Roman"/>
          <w:sz w:val="24"/>
          <w:szCs w:val="24"/>
        </w:rPr>
        <w:t xml:space="preserve"> the Village’s </w:t>
      </w:r>
      <w:r w:rsidR="00D17893">
        <w:rPr>
          <w:rFonts w:eastAsia="Calibri" w:cs="Times New Roman"/>
          <w:sz w:val="24"/>
          <w:szCs w:val="24"/>
        </w:rPr>
        <w:t>approach to healthcare that supports and affirms the gender identity of transgender, non-binary, and gender-diverse individuals</w:t>
      </w:r>
      <w:r w:rsidR="009149CA">
        <w:rPr>
          <w:rFonts w:eastAsia="Calibri" w:cs="Times New Roman"/>
          <w:sz w:val="24"/>
          <w:szCs w:val="24"/>
        </w:rPr>
        <w:t>,</w:t>
      </w:r>
      <w:r w:rsidR="00D17893" w:rsidRPr="00D47190">
        <w:rPr>
          <w:rFonts w:eastAsia="Calibri" w:cs="Times New Roman"/>
          <w:sz w:val="24"/>
          <w:szCs w:val="24"/>
        </w:rPr>
        <w:t xml:space="preserve"> </w:t>
      </w:r>
      <w:r w:rsidR="00D17893">
        <w:rPr>
          <w:rFonts w:eastAsia="Calibri" w:cs="Times New Roman"/>
          <w:sz w:val="24"/>
          <w:szCs w:val="24"/>
        </w:rPr>
        <w:t>and provid</w:t>
      </w:r>
      <w:r w:rsidR="009149CA">
        <w:rPr>
          <w:rFonts w:eastAsia="Calibri" w:cs="Times New Roman"/>
          <w:sz w:val="24"/>
          <w:szCs w:val="24"/>
        </w:rPr>
        <w:t>ing</w:t>
      </w:r>
      <w:r w:rsidR="00D17893">
        <w:rPr>
          <w:rFonts w:eastAsia="Calibri" w:cs="Times New Roman"/>
          <w:sz w:val="24"/>
          <w:szCs w:val="24"/>
        </w:rPr>
        <w:t xml:space="preserve"> a safe and supportive environment for these individuals to access the medical, social, and emotional support needed to fully embrace their gender identities</w:t>
      </w:r>
      <w:r w:rsidR="009149CA">
        <w:rPr>
          <w:rFonts w:eastAsia="Calibri" w:cs="Times New Roman"/>
          <w:sz w:val="24"/>
          <w:szCs w:val="24"/>
        </w:rPr>
        <w:t>.</w:t>
      </w:r>
    </w:p>
    <w:p w14:paraId="3E1AAF17" w14:textId="77777777" w:rsidR="00A25E84" w:rsidRDefault="00A25E84" w:rsidP="00D47190">
      <w:pPr>
        <w:widowControl w:val="0"/>
        <w:tabs>
          <w:tab w:val="left" w:pos="720"/>
        </w:tabs>
        <w:spacing w:after="0" w:line="240" w:lineRule="auto"/>
        <w:jc w:val="both"/>
        <w:outlineLvl w:val="0"/>
        <w:rPr>
          <w:rFonts w:eastAsia="Arial" w:cstheme="minorHAnsi"/>
          <w:b/>
          <w:sz w:val="24"/>
          <w:szCs w:val="24"/>
        </w:rPr>
      </w:pPr>
    </w:p>
    <w:p w14:paraId="20BBDB9A" w14:textId="77777777" w:rsidR="00D47190" w:rsidRPr="00D47190" w:rsidRDefault="00D47190" w:rsidP="00D47190">
      <w:pPr>
        <w:widowControl w:val="0"/>
        <w:tabs>
          <w:tab w:val="left" w:pos="720"/>
        </w:tabs>
        <w:spacing w:after="0" w:line="240" w:lineRule="auto"/>
        <w:jc w:val="both"/>
        <w:outlineLvl w:val="0"/>
        <w:rPr>
          <w:rFonts w:eastAsia="Arial" w:cstheme="minorHAnsi"/>
          <w:sz w:val="24"/>
          <w:szCs w:val="24"/>
        </w:rPr>
      </w:pPr>
      <w:r w:rsidRPr="00D47190">
        <w:rPr>
          <w:rFonts w:eastAsia="Arial" w:cstheme="minorHAnsi"/>
          <w:b/>
          <w:sz w:val="24"/>
          <w:szCs w:val="24"/>
        </w:rPr>
        <w:t>13-</w:t>
      </w:r>
      <w:r w:rsidR="000A298D">
        <w:rPr>
          <w:rFonts w:eastAsia="Arial" w:cstheme="minorHAnsi"/>
          <w:b/>
          <w:sz w:val="24"/>
          <w:szCs w:val="24"/>
        </w:rPr>
        <w:t>9</w:t>
      </w:r>
      <w:r w:rsidRPr="00D47190">
        <w:rPr>
          <w:rFonts w:eastAsia="Arial" w:cstheme="minorHAnsi"/>
          <w:b/>
          <w:sz w:val="24"/>
          <w:szCs w:val="24"/>
        </w:rPr>
        <w:t>-2:  DEFINITIONS</w:t>
      </w:r>
      <w:r w:rsidRPr="00D47190">
        <w:rPr>
          <w:rFonts w:eastAsia="Arial" w:cstheme="minorHAnsi"/>
          <w:sz w:val="24"/>
          <w:szCs w:val="24"/>
        </w:rPr>
        <w:t>:</w:t>
      </w:r>
    </w:p>
    <w:p w14:paraId="61E4590B" w14:textId="77777777" w:rsidR="00D47190" w:rsidRPr="00D47190" w:rsidRDefault="00D47190" w:rsidP="00D47190">
      <w:pPr>
        <w:widowControl w:val="0"/>
        <w:tabs>
          <w:tab w:val="left" w:pos="720"/>
        </w:tabs>
        <w:spacing w:after="0" w:line="240" w:lineRule="auto"/>
        <w:jc w:val="both"/>
        <w:rPr>
          <w:rFonts w:eastAsia="Arial" w:cstheme="minorHAnsi"/>
          <w:sz w:val="24"/>
          <w:szCs w:val="24"/>
        </w:rPr>
      </w:pPr>
    </w:p>
    <w:p w14:paraId="1038DA62" w14:textId="4C99A53E" w:rsidR="00D47190" w:rsidRPr="00D47190" w:rsidRDefault="00D47190" w:rsidP="00D47190">
      <w:pPr>
        <w:widowControl w:val="0"/>
        <w:tabs>
          <w:tab w:val="left" w:pos="720"/>
        </w:tabs>
        <w:spacing w:after="0" w:line="240" w:lineRule="auto"/>
        <w:jc w:val="both"/>
        <w:rPr>
          <w:rFonts w:cstheme="minorHAnsi"/>
          <w:sz w:val="24"/>
          <w:szCs w:val="24"/>
        </w:rPr>
      </w:pPr>
      <w:r w:rsidRPr="00D47190">
        <w:rPr>
          <w:rFonts w:cstheme="minorHAnsi"/>
          <w:sz w:val="24"/>
          <w:szCs w:val="24"/>
        </w:rPr>
        <w:t>The following words and phrases, when used in this article, have the following meanings:</w:t>
      </w:r>
    </w:p>
    <w:p w14:paraId="701E9DD7" w14:textId="77777777" w:rsidR="00D47190" w:rsidRPr="00D47190" w:rsidRDefault="00D47190" w:rsidP="00D47190">
      <w:pPr>
        <w:widowControl w:val="0"/>
        <w:tabs>
          <w:tab w:val="left" w:pos="720"/>
        </w:tabs>
        <w:spacing w:after="0" w:line="240" w:lineRule="auto"/>
        <w:jc w:val="both"/>
        <w:rPr>
          <w:rFonts w:cstheme="minorHAnsi"/>
          <w:sz w:val="24"/>
          <w:szCs w:val="24"/>
        </w:rPr>
      </w:pPr>
    </w:p>
    <w:p w14:paraId="619A42CE" w14:textId="77777777" w:rsidR="00D47190" w:rsidRPr="00D47190" w:rsidRDefault="00D47190" w:rsidP="00D47190">
      <w:pPr>
        <w:spacing w:after="0" w:line="240" w:lineRule="auto"/>
        <w:jc w:val="both"/>
        <w:rPr>
          <w:rFonts w:eastAsia="Calibri" w:cs="Times New Roman"/>
          <w:sz w:val="24"/>
          <w:szCs w:val="24"/>
        </w:rPr>
      </w:pPr>
      <w:r w:rsidRPr="00D47190">
        <w:rPr>
          <w:rFonts w:eastAsia="Calibri" w:cs="Times New Roman"/>
          <w:sz w:val="24"/>
          <w:szCs w:val="24"/>
        </w:rPr>
        <w:t>AGENCY:  Every Village department, division, commission, committee, board, or other body established by authority of an ordinance, or Village Board resolution.</w:t>
      </w:r>
    </w:p>
    <w:p w14:paraId="7601C2DB" w14:textId="77777777" w:rsidR="00D47190" w:rsidRPr="00D47190" w:rsidRDefault="00D47190" w:rsidP="00D47190">
      <w:pPr>
        <w:spacing w:after="0" w:line="240" w:lineRule="auto"/>
        <w:jc w:val="both"/>
        <w:rPr>
          <w:rFonts w:eastAsia="Calibri" w:cs="Times New Roman"/>
          <w:sz w:val="24"/>
          <w:szCs w:val="24"/>
        </w:rPr>
      </w:pPr>
    </w:p>
    <w:p w14:paraId="3C9D4C96" w14:textId="77777777" w:rsidR="00D47190" w:rsidRPr="00D47190" w:rsidRDefault="00D47190" w:rsidP="00D47190">
      <w:pPr>
        <w:spacing w:after="0" w:line="240" w:lineRule="auto"/>
        <w:jc w:val="both"/>
        <w:rPr>
          <w:rFonts w:eastAsia="Calibri" w:cs="Times New Roman"/>
          <w:sz w:val="24"/>
          <w:szCs w:val="24"/>
        </w:rPr>
      </w:pPr>
      <w:r w:rsidRPr="00D47190">
        <w:rPr>
          <w:rFonts w:eastAsia="Calibri" w:cs="Times New Roman"/>
          <w:sz w:val="24"/>
          <w:szCs w:val="24"/>
        </w:rPr>
        <w:t>AGENT:  Any person employed by or acting on behalf of an agency or other person acting under color of law on behalf of the Village.</w:t>
      </w:r>
    </w:p>
    <w:p w14:paraId="798FE83C" w14:textId="77777777" w:rsidR="00D47190" w:rsidRPr="00D47190" w:rsidRDefault="00D47190" w:rsidP="00D47190">
      <w:pPr>
        <w:spacing w:after="0" w:line="240" w:lineRule="auto"/>
        <w:jc w:val="both"/>
        <w:rPr>
          <w:rFonts w:eastAsia="Calibri" w:cs="Times New Roman"/>
          <w:sz w:val="24"/>
          <w:szCs w:val="24"/>
        </w:rPr>
      </w:pPr>
    </w:p>
    <w:p w14:paraId="57A23F1A" w14:textId="04FE5455" w:rsidR="00D47190" w:rsidRPr="00D47190" w:rsidRDefault="00DF05D7" w:rsidP="00D47190">
      <w:pPr>
        <w:widowControl w:val="0"/>
        <w:tabs>
          <w:tab w:val="left" w:pos="720"/>
        </w:tabs>
        <w:spacing w:after="0" w:line="240" w:lineRule="auto"/>
        <w:jc w:val="both"/>
        <w:rPr>
          <w:rFonts w:cstheme="minorHAnsi"/>
          <w:sz w:val="24"/>
          <w:szCs w:val="24"/>
        </w:rPr>
      </w:pPr>
      <w:r>
        <w:rPr>
          <w:rFonts w:cstheme="minorHAnsi"/>
          <w:sz w:val="24"/>
          <w:szCs w:val="24"/>
        </w:rPr>
        <w:t xml:space="preserve">GENDER AFFIRMING CARE:  </w:t>
      </w:r>
      <w:r w:rsidR="00D14F14">
        <w:rPr>
          <w:rFonts w:cstheme="minorHAnsi"/>
          <w:sz w:val="24"/>
          <w:szCs w:val="24"/>
        </w:rPr>
        <w:t>Lawful healthcare as defined in Subsection (2) of 735</w:t>
      </w:r>
      <w:r w:rsidR="00D14F14" w:rsidRPr="00D47190">
        <w:rPr>
          <w:rFonts w:cstheme="minorHAnsi"/>
          <w:sz w:val="24"/>
          <w:szCs w:val="24"/>
        </w:rPr>
        <w:t xml:space="preserve"> Illinois Compiled Statutes </w:t>
      </w:r>
      <w:r w:rsidR="00D14F14">
        <w:rPr>
          <w:rFonts w:cstheme="minorHAnsi"/>
          <w:sz w:val="24"/>
          <w:szCs w:val="24"/>
        </w:rPr>
        <w:t xml:space="preserve">40/28-10, as amended, including, without limitation, </w:t>
      </w:r>
      <w:r w:rsidR="00D14F14" w:rsidRPr="00D14F14">
        <w:rPr>
          <w:rFonts w:cstheme="minorHAnsi"/>
          <w:sz w:val="24"/>
          <w:szCs w:val="24"/>
        </w:rPr>
        <w:t>the treatment of gender dysphoria or the affirmation of an individual's gender identity or gender expression</w:t>
      </w:r>
      <w:r w:rsidR="00146EA8">
        <w:rPr>
          <w:rFonts w:cstheme="minorHAnsi"/>
          <w:sz w:val="24"/>
          <w:szCs w:val="24"/>
        </w:rPr>
        <w:t>.</w:t>
      </w:r>
    </w:p>
    <w:p w14:paraId="065BAF2D" w14:textId="77777777" w:rsidR="00D47190" w:rsidRPr="00D47190" w:rsidRDefault="00D47190" w:rsidP="00D47190">
      <w:pPr>
        <w:widowControl w:val="0"/>
        <w:tabs>
          <w:tab w:val="left" w:pos="720"/>
        </w:tabs>
        <w:spacing w:after="0" w:line="240" w:lineRule="auto"/>
        <w:jc w:val="both"/>
        <w:rPr>
          <w:rFonts w:cstheme="minorHAnsi"/>
          <w:sz w:val="24"/>
          <w:szCs w:val="24"/>
        </w:rPr>
      </w:pPr>
    </w:p>
    <w:p w14:paraId="065C05F3" w14:textId="77777777" w:rsidR="00D47190" w:rsidRPr="00D47190" w:rsidRDefault="00D47190" w:rsidP="00D47190">
      <w:pPr>
        <w:spacing w:after="0" w:line="240" w:lineRule="auto"/>
        <w:jc w:val="both"/>
        <w:rPr>
          <w:rFonts w:eastAsia="Calibri" w:cstheme="minorHAnsi"/>
          <w:sz w:val="24"/>
          <w:szCs w:val="24"/>
        </w:rPr>
      </w:pPr>
      <w:r w:rsidRPr="00D47190">
        <w:rPr>
          <w:rFonts w:eastAsia="Calibri" w:cstheme="minorHAnsi"/>
          <w:b/>
          <w:sz w:val="24"/>
          <w:szCs w:val="24"/>
        </w:rPr>
        <w:t>13-</w:t>
      </w:r>
      <w:r w:rsidR="000A298D">
        <w:rPr>
          <w:rFonts w:eastAsia="Calibri" w:cstheme="minorHAnsi"/>
          <w:b/>
          <w:sz w:val="24"/>
          <w:szCs w:val="24"/>
        </w:rPr>
        <w:t>9</w:t>
      </w:r>
      <w:r w:rsidRPr="00D47190">
        <w:rPr>
          <w:rFonts w:eastAsia="Calibri" w:cstheme="minorHAnsi"/>
          <w:b/>
          <w:sz w:val="24"/>
          <w:szCs w:val="24"/>
        </w:rPr>
        <w:t xml:space="preserve">-3:  LIMITATION ON ENFORCEMENT RELATED TO </w:t>
      </w:r>
      <w:r w:rsidR="00146EA8">
        <w:rPr>
          <w:rFonts w:eastAsia="Calibri" w:cstheme="minorHAnsi"/>
          <w:b/>
          <w:sz w:val="24"/>
          <w:szCs w:val="24"/>
        </w:rPr>
        <w:t>GENDER AFFIRMING</w:t>
      </w:r>
      <w:r w:rsidRPr="00D47190">
        <w:rPr>
          <w:rFonts w:eastAsia="Calibri" w:cstheme="minorHAnsi"/>
          <w:b/>
          <w:sz w:val="24"/>
          <w:szCs w:val="24"/>
        </w:rPr>
        <w:t xml:space="preserve"> CARE:</w:t>
      </w:r>
      <w:r w:rsidRPr="00D47190">
        <w:rPr>
          <w:rFonts w:eastAsia="Calibri" w:cstheme="minorHAnsi"/>
          <w:sz w:val="24"/>
          <w:szCs w:val="24"/>
        </w:rPr>
        <w:t xml:space="preserve"> </w:t>
      </w:r>
    </w:p>
    <w:p w14:paraId="135D0263" w14:textId="77777777" w:rsidR="00D47190" w:rsidRPr="00D47190" w:rsidRDefault="00D47190" w:rsidP="00D47190">
      <w:pPr>
        <w:spacing w:after="0" w:line="240" w:lineRule="auto"/>
        <w:jc w:val="both"/>
        <w:rPr>
          <w:rFonts w:eastAsia="Calibri" w:cstheme="minorHAnsi"/>
          <w:sz w:val="24"/>
          <w:szCs w:val="24"/>
        </w:rPr>
      </w:pPr>
    </w:p>
    <w:p w14:paraId="723151E6" w14:textId="132B1593" w:rsidR="00D47190" w:rsidRPr="00D47190" w:rsidRDefault="00D47190" w:rsidP="00D47190">
      <w:pPr>
        <w:spacing w:after="0" w:line="240" w:lineRule="auto"/>
        <w:jc w:val="both"/>
        <w:rPr>
          <w:rFonts w:eastAsia="Calibri" w:cstheme="minorHAnsi"/>
          <w:sz w:val="24"/>
          <w:szCs w:val="24"/>
        </w:rPr>
      </w:pPr>
      <w:r w:rsidRPr="00D47190">
        <w:rPr>
          <w:rFonts w:eastAsia="Calibri" w:cstheme="minorHAnsi"/>
          <w:sz w:val="24"/>
          <w:szCs w:val="24"/>
        </w:rPr>
        <w:lastRenderedPageBreak/>
        <w:t xml:space="preserve">No Village agent or agency or using resources or assets belonging to the Village </w:t>
      </w:r>
      <w:r w:rsidR="00CD6B9E">
        <w:rPr>
          <w:rFonts w:eastAsia="Calibri" w:cstheme="minorHAnsi"/>
          <w:sz w:val="24"/>
          <w:szCs w:val="24"/>
        </w:rPr>
        <w:t>may</w:t>
      </w:r>
      <w:r w:rsidRPr="00D47190">
        <w:rPr>
          <w:rFonts w:eastAsia="Calibri" w:cstheme="minorHAnsi"/>
          <w:sz w:val="24"/>
          <w:szCs w:val="24"/>
        </w:rPr>
        <w:t xml:space="preserve"> conduct any investigation, detain any person, make any arrest, file any criminal charges, cooperate with any other officer, agent, agency, entity, or department, or participate in any prosecution in which a person or entity is accused of facilitating, providing, or receiving </w:t>
      </w:r>
      <w:r w:rsidR="00146EA8">
        <w:rPr>
          <w:rFonts w:eastAsia="Calibri" w:cstheme="minorHAnsi"/>
          <w:sz w:val="24"/>
          <w:szCs w:val="24"/>
        </w:rPr>
        <w:t>gender affirming</w:t>
      </w:r>
      <w:r w:rsidRPr="00D47190">
        <w:rPr>
          <w:rFonts w:eastAsia="Calibri" w:cstheme="minorHAnsi"/>
          <w:sz w:val="24"/>
          <w:szCs w:val="24"/>
        </w:rPr>
        <w:t xml:space="preserve"> care services or products obtained in conformance with the laws of the State of Illinois. </w:t>
      </w:r>
    </w:p>
    <w:p w14:paraId="691FDEC3" w14:textId="77777777" w:rsidR="00D47190" w:rsidRPr="00D47190" w:rsidRDefault="00D47190" w:rsidP="00D47190">
      <w:pPr>
        <w:spacing w:after="0" w:line="240" w:lineRule="auto"/>
        <w:jc w:val="both"/>
        <w:rPr>
          <w:rFonts w:eastAsia="Calibri" w:cstheme="minorHAnsi"/>
          <w:sz w:val="24"/>
          <w:szCs w:val="24"/>
        </w:rPr>
      </w:pPr>
    </w:p>
    <w:p w14:paraId="06B1C293" w14:textId="77777777" w:rsidR="00D47190" w:rsidRPr="00D47190" w:rsidRDefault="00D47190" w:rsidP="00D47190">
      <w:pPr>
        <w:spacing w:after="0" w:line="240" w:lineRule="auto"/>
        <w:jc w:val="both"/>
        <w:rPr>
          <w:rFonts w:eastAsia="Calibri" w:cs="Times New Roman"/>
          <w:b/>
          <w:sz w:val="24"/>
          <w:szCs w:val="24"/>
        </w:rPr>
      </w:pPr>
      <w:r w:rsidRPr="00D47190">
        <w:rPr>
          <w:rFonts w:eastAsia="Calibri" w:cs="Times New Roman"/>
          <w:b/>
          <w:sz w:val="24"/>
          <w:szCs w:val="24"/>
        </w:rPr>
        <w:t>13-</w:t>
      </w:r>
      <w:r w:rsidR="000A298D">
        <w:rPr>
          <w:rFonts w:eastAsia="Calibri" w:cs="Times New Roman"/>
          <w:b/>
          <w:sz w:val="24"/>
          <w:szCs w:val="24"/>
        </w:rPr>
        <w:t>9</w:t>
      </w:r>
      <w:r w:rsidRPr="00D47190">
        <w:rPr>
          <w:rFonts w:eastAsia="Calibri" w:cs="Times New Roman"/>
          <w:b/>
          <w:sz w:val="24"/>
          <w:szCs w:val="24"/>
        </w:rPr>
        <w:t xml:space="preserve">-4:  REQUESTING OR PROVIDING INFORMATION REGARDING </w:t>
      </w:r>
      <w:r w:rsidR="00146EA8">
        <w:rPr>
          <w:rFonts w:eastAsia="Calibri" w:cs="Times New Roman"/>
          <w:b/>
          <w:sz w:val="24"/>
          <w:szCs w:val="24"/>
        </w:rPr>
        <w:t>GENDER AFFIRMING</w:t>
      </w:r>
      <w:r w:rsidRPr="00D47190">
        <w:rPr>
          <w:rFonts w:eastAsia="Calibri" w:cs="Times New Roman"/>
          <w:b/>
          <w:sz w:val="24"/>
          <w:szCs w:val="24"/>
        </w:rPr>
        <w:t xml:space="preserve"> CARE PROHIBITED:</w:t>
      </w:r>
    </w:p>
    <w:p w14:paraId="6C822BCF" w14:textId="77777777" w:rsidR="00D47190" w:rsidRPr="00D47190" w:rsidRDefault="00D47190" w:rsidP="00D47190">
      <w:pPr>
        <w:spacing w:after="0" w:line="240" w:lineRule="auto"/>
        <w:jc w:val="both"/>
        <w:rPr>
          <w:rFonts w:eastAsia="Calibri" w:cs="Times New Roman"/>
          <w:b/>
          <w:sz w:val="24"/>
          <w:szCs w:val="24"/>
        </w:rPr>
      </w:pPr>
    </w:p>
    <w:p w14:paraId="58D79D0F" w14:textId="76E759B4" w:rsidR="00146EA8" w:rsidRDefault="00D47190" w:rsidP="00D47190">
      <w:pPr>
        <w:spacing w:after="0" w:line="240" w:lineRule="auto"/>
        <w:jc w:val="both"/>
        <w:rPr>
          <w:rFonts w:eastAsia="Calibri" w:cstheme="minorHAnsi"/>
          <w:sz w:val="24"/>
          <w:szCs w:val="24"/>
        </w:rPr>
      </w:pPr>
      <w:bookmarkStart w:id="0" w:name="_GoBack"/>
      <w:r w:rsidRPr="00D47190">
        <w:rPr>
          <w:rFonts w:eastAsia="Calibri" w:cs="Times New Roman"/>
          <w:sz w:val="24"/>
          <w:szCs w:val="24"/>
        </w:rPr>
        <w:t xml:space="preserve">No </w:t>
      </w:r>
      <w:bookmarkEnd w:id="0"/>
      <w:r w:rsidRPr="00D47190">
        <w:rPr>
          <w:rFonts w:eastAsia="Calibri" w:cs="Times New Roman"/>
          <w:sz w:val="24"/>
          <w:szCs w:val="24"/>
        </w:rPr>
        <w:t xml:space="preserve">Village agent or agency </w:t>
      </w:r>
      <w:r w:rsidR="00CD6B9E">
        <w:rPr>
          <w:rFonts w:eastAsia="Calibri" w:cs="Times New Roman"/>
          <w:sz w:val="24"/>
          <w:szCs w:val="24"/>
        </w:rPr>
        <w:t>may</w:t>
      </w:r>
      <w:r w:rsidR="00CD6B9E" w:rsidRPr="00D47190">
        <w:rPr>
          <w:rFonts w:eastAsia="Calibri" w:cs="Times New Roman"/>
          <w:sz w:val="24"/>
          <w:szCs w:val="24"/>
        </w:rPr>
        <w:t xml:space="preserve"> </w:t>
      </w:r>
      <w:r w:rsidRPr="00D47190">
        <w:rPr>
          <w:rFonts w:eastAsia="Calibri" w:cs="Times New Roman"/>
          <w:sz w:val="24"/>
          <w:szCs w:val="24"/>
        </w:rPr>
        <w:t xml:space="preserve">request or provide information about or otherwise investigate or assist in the investigation of </w:t>
      </w:r>
      <w:r w:rsidRPr="00D47190">
        <w:rPr>
          <w:rFonts w:eastAsia="Calibri" w:cstheme="minorHAnsi"/>
          <w:sz w:val="24"/>
          <w:szCs w:val="24"/>
        </w:rPr>
        <w:t xml:space="preserve">a person or entity for facilitating, providing, or receiving </w:t>
      </w:r>
      <w:r w:rsidR="00146EA8">
        <w:rPr>
          <w:rFonts w:eastAsia="Calibri" w:cstheme="minorHAnsi"/>
          <w:sz w:val="24"/>
          <w:szCs w:val="24"/>
        </w:rPr>
        <w:t xml:space="preserve">gender affirming </w:t>
      </w:r>
      <w:r w:rsidRPr="00D47190">
        <w:rPr>
          <w:rFonts w:eastAsia="Calibri" w:cstheme="minorHAnsi"/>
          <w:sz w:val="24"/>
          <w:szCs w:val="24"/>
        </w:rPr>
        <w:t xml:space="preserve">care services or products obtained in conformance with the laws of the State of Illinois. </w:t>
      </w:r>
    </w:p>
    <w:p w14:paraId="62B121D6" w14:textId="77777777" w:rsidR="00146EA8" w:rsidRDefault="00146EA8" w:rsidP="00D47190">
      <w:pPr>
        <w:spacing w:after="0" w:line="240" w:lineRule="auto"/>
        <w:jc w:val="both"/>
        <w:rPr>
          <w:rFonts w:eastAsia="Calibri" w:cstheme="minorHAnsi"/>
          <w:b/>
          <w:sz w:val="24"/>
          <w:szCs w:val="24"/>
        </w:rPr>
      </w:pPr>
    </w:p>
    <w:p w14:paraId="406C0355" w14:textId="77777777" w:rsidR="00D47190" w:rsidRPr="00146EA8" w:rsidRDefault="00D47190" w:rsidP="00D47190">
      <w:pPr>
        <w:spacing w:after="0" w:line="240" w:lineRule="auto"/>
        <w:jc w:val="both"/>
        <w:rPr>
          <w:rFonts w:ascii="Franklin Gothic Book" w:eastAsia="Calibri" w:hAnsi="Franklin Gothic Book" w:cstheme="minorHAnsi"/>
          <w:sz w:val="24"/>
          <w:szCs w:val="24"/>
        </w:rPr>
      </w:pPr>
      <w:r w:rsidRPr="00D47190">
        <w:rPr>
          <w:rFonts w:eastAsia="Calibri" w:cstheme="minorHAnsi"/>
          <w:b/>
          <w:sz w:val="24"/>
          <w:szCs w:val="24"/>
        </w:rPr>
        <w:t>13-</w:t>
      </w:r>
      <w:r w:rsidR="000A298D">
        <w:rPr>
          <w:rFonts w:eastAsia="Calibri" w:cstheme="minorHAnsi"/>
          <w:b/>
          <w:sz w:val="24"/>
          <w:szCs w:val="24"/>
        </w:rPr>
        <w:t>9</w:t>
      </w:r>
      <w:r w:rsidRPr="00D47190">
        <w:rPr>
          <w:rFonts w:eastAsia="Calibri" w:cstheme="minorHAnsi"/>
          <w:b/>
          <w:sz w:val="24"/>
          <w:szCs w:val="24"/>
        </w:rPr>
        <w:t>-5:</w:t>
      </w:r>
      <w:proofErr w:type="gramStart"/>
      <w:r w:rsidRPr="00D47190">
        <w:rPr>
          <w:rFonts w:eastAsia="Calibri" w:cstheme="minorHAnsi"/>
          <w:b/>
          <w:sz w:val="24"/>
          <w:szCs w:val="24"/>
        </w:rPr>
        <w:tab/>
        <w:t xml:space="preserve">  OBJECTION</w:t>
      </w:r>
      <w:proofErr w:type="gramEnd"/>
      <w:r w:rsidRPr="00D47190">
        <w:rPr>
          <w:rFonts w:eastAsia="Calibri" w:cstheme="minorHAnsi"/>
          <w:b/>
          <w:sz w:val="24"/>
          <w:szCs w:val="24"/>
        </w:rPr>
        <w:t xml:space="preserve"> TO SUBPOENA OR REQUESTS FOR INFORMATION:  </w:t>
      </w:r>
    </w:p>
    <w:p w14:paraId="0AC89FA3" w14:textId="77777777" w:rsidR="00D47190" w:rsidRPr="00D47190" w:rsidRDefault="00D47190" w:rsidP="00D47190">
      <w:pPr>
        <w:spacing w:after="0" w:line="240" w:lineRule="auto"/>
        <w:jc w:val="both"/>
        <w:rPr>
          <w:rFonts w:eastAsia="Calibri" w:cstheme="minorHAnsi"/>
          <w:b/>
          <w:sz w:val="24"/>
          <w:szCs w:val="24"/>
        </w:rPr>
      </w:pPr>
    </w:p>
    <w:p w14:paraId="4DA0D5D4" w14:textId="77777777" w:rsidR="00D47190" w:rsidRPr="00D47190" w:rsidRDefault="00D47190" w:rsidP="00D47190">
      <w:pPr>
        <w:spacing w:after="0" w:line="240" w:lineRule="auto"/>
        <w:jc w:val="both"/>
        <w:rPr>
          <w:rFonts w:eastAsia="Calibri" w:cstheme="minorHAnsi"/>
          <w:sz w:val="24"/>
          <w:szCs w:val="24"/>
        </w:rPr>
      </w:pPr>
      <w:r w:rsidRPr="00D47190">
        <w:rPr>
          <w:rFonts w:eastAsia="Calibri" w:cstheme="minorHAnsi"/>
          <w:sz w:val="24"/>
          <w:szCs w:val="24"/>
        </w:rPr>
        <w:t xml:space="preserve">The Village will object to any subpoena or requests for information from any out-of-state person or entity for the purposes of investigating a law criminalizing </w:t>
      </w:r>
      <w:r w:rsidR="00146EA8">
        <w:rPr>
          <w:rFonts w:eastAsia="Calibri" w:cstheme="minorHAnsi"/>
          <w:sz w:val="24"/>
          <w:szCs w:val="24"/>
        </w:rPr>
        <w:t xml:space="preserve">gender affirming </w:t>
      </w:r>
      <w:r w:rsidRPr="00D47190">
        <w:rPr>
          <w:rFonts w:eastAsia="Calibri" w:cstheme="minorHAnsi"/>
          <w:sz w:val="24"/>
          <w:szCs w:val="24"/>
        </w:rPr>
        <w:t xml:space="preserve">care as set forth in this article or creates civil liability for </w:t>
      </w:r>
      <w:r w:rsidR="00146EA8">
        <w:rPr>
          <w:rFonts w:eastAsia="Calibri" w:cstheme="minorHAnsi"/>
          <w:sz w:val="24"/>
          <w:szCs w:val="24"/>
        </w:rPr>
        <w:t>gender affirming</w:t>
      </w:r>
      <w:r w:rsidRPr="00D47190">
        <w:rPr>
          <w:rFonts w:eastAsia="Calibri" w:cstheme="minorHAnsi"/>
          <w:sz w:val="24"/>
          <w:szCs w:val="24"/>
        </w:rPr>
        <w:t xml:space="preserve"> care. </w:t>
      </w:r>
    </w:p>
    <w:p w14:paraId="2E3806E6" w14:textId="77777777" w:rsidR="00D47190" w:rsidRPr="00D47190" w:rsidRDefault="00D47190" w:rsidP="00D47190">
      <w:pPr>
        <w:spacing w:after="0" w:line="240" w:lineRule="auto"/>
        <w:jc w:val="both"/>
        <w:rPr>
          <w:rFonts w:eastAsia="Calibri" w:cstheme="minorHAnsi"/>
          <w:sz w:val="24"/>
          <w:szCs w:val="24"/>
        </w:rPr>
      </w:pPr>
    </w:p>
    <w:p w14:paraId="366D7A13" w14:textId="77777777" w:rsidR="00D47190" w:rsidRPr="00D47190" w:rsidRDefault="00D47190" w:rsidP="00D47190">
      <w:pPr>
        <w:spacing w:after="0" w:line="240" w:lineRule="auto"/>
        <w:jc w:val="both"/>
        <w:rPr>
          <w:rFonts w:eastAsia="Calibri" w:cs="Times New Roman"/>
          <w:b/>
          <w:sz w:val="24"/>
          <w:szCs w:val="24"/>
        </w:rPr>
      </w:pPr>
      <w:r w:rsidRPr="00D47190">
        <w:rPr>
          <w:rFonts w:eastAsia="Calibri" w:cs="Times New Roman"/>
          <w:b/>
          <w:sz w:val="24"/>
          <w:szCs w:val="24"/>
        </w:rPr>
        <w:t>13-</w:t>
      </w:r>
      <w:r w:rsidR="000A298D">
        <w:rPr>
          <w:rFonts w:eastAsia="Calibri" w:cs="Times New Roman"/>
          <w:b/>
          <w:sz w:val="24"/>
          <w:szCs w:val="24"/>
        </w:rPr>
        <w:t>9</w:t>
      </w:r>
      <w:r w:rsidRPr="00D47190">
        <w:rPr>
          <w:rFonts w:eastAsia="Calibri" w:cs="Times New Roman"/>
          <w:b/>
          <w:sz w:val="24"/>
          <w:szCs w:val="24"/>
        </w:rPr>
        <w:t>-6:</w:t>
      </w:r>
      <w:r w:rsidR="009C3F9C" w:rsidRPr="00D47190">
        <w:rPr>
          <w:rFonts w:eastAsia="Calibri" w:cs="Times New Roman"/>
          <w:b/>
          <w:sz w:val="24"/>
          <w:szCs w:val="24"/>
        </w:rPr>
        <w:tab/>
        <w:t xml:space="preserve"> </w:t>
      </w:r>
      <w:r w:rsidR="009C3F9C">
        <w:rPr>
          <w:rFonts w:eastAsia="Calibri" w:cs="Times New Roman"/>
          <w:b/>
          <w:sz w:val="24"/>
          <w:szCs w:val="24"/>
        </w:rPr>
        <w:t xml:space="preserve"> </w:t>
      </w:r>
      <w:r w:rsidR="009C3F9C" w:rsidRPr="00D47190">
        <w:rPr>
          <w:rFonts w:eastAsia="Calibri" w:cs="Times New Roman"/>
          <w:b/>
          <w:sz w:val="24"/>
          <w:szCs w:val="24"/>
        </w:rPr>
        <w:t>INCORPORATION</w:t>
      </w:r>
      <w:r w:rsidRPr="00D47190">
        <w:rPr>
          <w:rFonts w:eastAsia="Calibri" w:cs="Times New Roman"/>
          <w:b/>
          <w:sz w:val="24"/>
          <w:szCs w:val="24"/>
        </w:rPr>
        <w:t xml:space="preserve"> OF THE ACT; CONFLICT:</w:t>
      </w:r>
    </w:p>
    <w:p w14:paraId="20F1008C" w14:textId="77777777" w:rsidR="00D47190" w:rsidRPr="00D47190" w:rsidRDefault="00D47190" w:rsidP="00D47190">
      <w:pPr>
        <w:spacing w:after="0" w:line="240" w:lineRule="auto"/>
        <w:jc w:val="both"/>
        <w:rPr>
          <w:rFonts w:eastAsia="Calibri" w:cs="Times New Roman"/>
          <w:b/>
          <w:sz w:val="24"/>
          <w:szCs w:val="24"/>
        </w:rPr>
      </w:pPr>
    </w:p>
    <w:p w14:paraId="58AEC5F0" w14:textId="03581886" w:rsidR="00D47190" w:rsidRPr="00D47190" w:rsidRDefault="00D47190" w:rsidP="00D47190">
      <w:pPr>
        <w:widowControl w:val="0"/>
        <w:tabs>
          <w:tab w:val="left" w:pos="720"/>
        </w:tabs>
        <w:spacing w:after="0" w:line="240" w:lineRule="auto"/>
        <w:jc w:val="both"/>
        <w:rPr>
          <w:rFonts w:cstheme="minorHAnsi"/>
          <w:sz w:val="24"/>
          <w:szCs w:val="24"/>
        </w:rPr>
      </w:pPr>
      <w:bookmarkStart w:id="1" w:name="_Hlk200629371"/>
      <w:r w:rsidRPr="00D47190">
        <w:rPr>
          <w:rFonts w:cstheme="minorHAnsi"/>
          <w:sz w:val="24"/>
          <w:szCs w:val="24"/>
        </w:rPr>
        <w:t xml:space="preserve">The </w:t>
      </w:r>
      <w:r w:rsidR="00146EA8">
        <w:rPr>
          <w:rFonts w:cstheme="minorHAnsi"/>
          <w:sz w:val="24"/>
          <w:szCs w:val="24"/>
        </w:rPr>
        <w:t xml:space="preserve">Illinois </w:t>
      </w:r>
      <w:r w:rsidR="00460041">
        <w:rPr>
          <w:rFonts w:cstheme="minorHAnsi"/>
          <w:sz w:val="24"/>
          <w:szCs w:val="24"/>
        </w:rPr>
        <w:t>Lawful Health Care Activity Act</w:t>
      </w:r>
      <w:r w:rsidRPr="00D47190">
        <w:rPr>
          <w:rFonts w:cstheme="minorHAnsi"/>
          <w:sz w:val="24"/>
          <w:szCs w:val="24"/>
        </w:rPr>
        <w:t xml:space="preserve">, </w:t>
      </w:r>
      <w:r w:rsidR="00460041">
        <w:rPr>
          <w:rFonts w:cstheme="minorHAnsi"/>
          <w:sz w:val="24"/>
          <w:szCs w:val="24"/>
        </w:rPr>
        <w:t>735</w:t>
      </w:r>
      <w:r w:rsidRPr="00D47190">
        <w:rPr>
          <w:rFonts w:cstheme="minorHAnsi"/>
          <w:sz w:val="24"/>
          <w:szCs w:val="24"/>
        </w:rPr>
        <w:t xml:space="preserve"> Illinois Compiled Statutes </w:t>
      </w:r>
      <w:r w:rsidR="00460041">
        <w:rPr>
          <w:rFonts w:cstheme="minorHAnsi"/>
          <w:sz w:val="24"/>
          <w:szCs w:val="24"/>
        </w:rPr>
        <w:t>40/28-5</w:t>
      </w:r>
      <w:r w:rsidRPr="00D47190">
        <w:rPr>
          <w:rFonts w:cstheme="minorHAnsi"/>
          <w:sz w:val="24"/>
          <w:szCs w:val="24"/>
        </w:rPr>
        <w:t xml:space="preserve"> </w:t>
      </w:r>
      <w:r w:rsidRPr="00D47190">
        <w:rPr>
          <w:rFonts w:cstheme="minorHAnsi"/>
          <w:i/>
          <w:sz w:val="24"/>
          <w:szCs w:val="24"/>
        </w:rPr>
        <w:t>et seq.</w:t>
      </w:r>
      <w:r w:rsidRPr="00D47190">
        <w:rPr>
          <w:rFonts w:cstheme="minorHAnsi"/>
          <w:sz w:val="24"/>
          <w:szCs w:val="24"/>
        </w:rPr>
        <w:t xml:space="preserve"> </w:t>
      </w:r>
      <w:bookmarkEnd w:id="1"/>
      <w:r w:rsidRPr="00D47190">
        <w:rPr>
          <w:rFonts w:cstheme="minorHAnsi"/>
          <w:sz w:val="24"/>
          <w:szCs w:val="24"/>
        </w:rPr>
        <w:t xml:space="preserve">(the “Act”), is incorporated herein by reference as part of this article.  In the case of a conflict between a provision of the Act and a provision of this article, the provision of the Act control.  The remedy for a violation of this article </w:t>
      </w:r>
      <w:r w:rsidR="00CD6B9E">
        <w:rPr>
          <w:rFonts w:cstheme="minorHAnsi"/>
          <w:sz w:val="24"/>
          <w:szCs w:val="24"/>
        </w:rPr>
        <w:t>will</w:t>
      </w:r>
      <w:r w:rsidR="00CD6B9E" w:rsidRPr="00D47190">
        <w:rPr>
          <w:rFonts w:cstheme="minorHAnsi"/>
          <w:sz w:val="24"/>
          <w:szCs w:val="24"/>
        </w:rPr>
        <w:t xml:space="preserve"> </w:t>
      </w:r>
      <w:r w:rsidRPr="00D47190">
        <w:rPr>
          <w:rFonts w:cstheme="minorHAnsi"/>
          <w:sz w:val="24"/>
          <w:szCs w:val="24"/>
        </w:rPr>
        <w:t>be as set forth in the Act.</w:t>
      </w:r>
    </w:p>
    <w:p w14:paraId="43EC622D" w14:textId="77777777" w:rsidR="00D47190" w:rsidRPr="00D47190" w:rsidRDefault="00D47190" w:rsidP="00D47190">
      <w:pPr>
        <w:spacing w:after="0" w:line="240" w:lineRule="auto"/>
        <w:jc w:val="both"/>
        <w:rPr>
          <w:rFonts w:eastAsia="Calibri" w:cstheme="minorHAnsi"/>
          <w:sz w:val="24"/>
          <w:szCs w:val="24"/>
        </w:rPr>
      </w:pPr>
    </w:p>
    <w:p w14:paraId="5E7F37F4" w14:textId="638047DE" w:rsidR="00D47190" w:rsidRPr="00D47190" w:rsidRDefault="00D47190" w:rsidP="00D47190">
      <w:pPr>
        <w:spacing w:after="0" w:line="240" w:lineRule="auto"/>
        <w:ind w:firstLine="544"/>
        <w:jc w:val="both"/>
        <w:rPr>
          <w:rFonts w:cstheme="minorHAnsi"/>
          <w:sz w:val="24"/>
          <w:szCs w:val="24"/>
        </w:rPr>
      </w:pPr>
      <w:r w:rsidRPr="00D47190">
        <w:rPr>
          <w:rFonts w:cstheme="minorHAnsi"/>
          <w:b/>
          <w:sz w:val="24"/>
          <w:szCs w:val="24"/>
        </w:rPr>
        <w:t>Section 3.</w:t>
      </w:r>
      <w:r w:rsidRPr="00D47190">
        <w:rPr>
          <w:rFonts w:cstheme="minorHAnsi"/>
          <w:sz w:val="24"/>
          <w:szCs w:val="24"/>
        </w:rPr>
        <w:t xml:space="preserve"> </w:t>
      </w:r>
      <w:r w:rsidRPr="00D47190">
        <w:rPr>
          <w:rFonts w:cstheme="minorHAnsi"/>
          <w:b/>
          <w:sz w:val="24"/>
          <w:szCs w:val="24"/>
        </w:rPr>
        <w:tab/>
        <w:t>Severability and Repeal of Inconsistent Ordinances.</w:t>
      </w:r>
      <w:r w:rsidRPr="00D47190">
        <w:rPr>
          <w:rFonts w:cstheme="minorHAnsi"/>
          <w:sz w:val="24"/>
          <w:szCs w:val="24"/>
        </w:rPr>
        <w:t xml:space="preserve"> If any section, paragraph, clause or provision of this Ordinance </w:t>
      </w:r>
      <w:r w:rsidR="00CD6B9E">
        <w:rPr>
          <w:rFonts w:cstheme="minorHAnsi"/>
          <w:sz w:val="24"/>
          <w:szCs w:val="24"/>
        </w:rPr>
        <w:t>is</w:t>
      </w:r>
      <w:r w:rsidRPr="00D47190">
        <w:rPr>
          <w:rFonts w:cstheme="minorHAnsi"/>
          <w:sz w:val="24"/>
          <w:szCs w:val="24"/>
        </w:rPr>
        <w:t xml:space="preserve"> held invalid, the invalidity thereof </w:t>
      </w:r>
      <w:r w:rsidR="00CD6B9E">
        <w:rPr>
          <w:rFonts w:cstheme="minorHAnsi"/>
          <w:sz w:val="24"/>
          <w:szCs w:val="24"/>
        </w:rPr>
        <w:t>wi</w:t>
      </w:r>
      <w:r w:rsidRPr="00D47190">
        <w:rPr>
          <w:rFonts w:cstheme="minorHAnsi"/>
          <w:sz w:val="24"/>
          <w:szCs w:val="24"/>
        </w:rPr>
        <w:t>ll not affect any of the other provisions of this Ordinance. All ordinances in conflict herewith are hereby repealed to the extent of such conflict.</w:t>
      </w:r>
    </w:p>
    <w:p w14:paraId="51928327" w14:textId="77777777" w:rsidR="00D47190" w:rsidRPr="00D47190" w:rsidRDefault="00D47190" w:rsidP="00D47190">
      <w:pPr>
        <w:spacing w:after="0" w:line="240" w:lineRule="auto"/>
        <w:jc w:val="both"/>
        <w:rPr>
          <w:rFonts w:cstheme="minorHAnsi"/>
          <w:sz w:val="24"/>
          <w:szCs w:val="24"/>
        </w:rPr>
      </w:pPr>
    </w:p>
    <w:p w14:paraId="7CBE3E24" w14:textId="4B52024A" w:rsidR="00D47190" w:rsidRPr="00D47190" w:rsidRDefault="009C3F9C" w:rsidP="00D47190">
      <w:pPr>
        <w:spacing w:after="0" w:line="240" w:lineRule="auto"/>
        <w:jc w:val="both"/>
        <w:rPr>
          <w:rFonts w:cstheme="minorHAnsi"/>
          <w:sz w:val="24"/>
          <w:szCs w:val="24"/>
        </w:rPr>
      </w:pPr>
      <w:r>
        <w:rPr>
          <w:rFonts w:cstheme="minorHAnsi"/>
          <w:b/>
          <w:sz w:val="24"/>
          <w:szCs w:val="24"/>
        </w:rPr>
        <w:t xml:space="preserve">         </w:t>
      </w:r>
      <w:r w:rsidR="00D47190" w:rsidRPr="00D47190">
        <w:rPr>
          <w:rFonts w:cstheme="minorHAnsi"/>
          <w:b/>
          <w:sz w:val="24"/>
          <w:szCs w:val="24"/>
        </w:rPr>
        <w:t>Section 4.</w:t>
      </w:r>
      <w:r w:rsidR="00D47190" w:rsidRPr="00D47190">
        <w:rPr>
          <w:rFonts w:cstheme="minorHAnsi"/>
          <w:sz w:val="24"/>
          <w:szCs w:val="24"/>
        </w:rPr>
        <w:tab/>
      </w:r>
      <w:r w:rsidR="00D47190" w:rsidRPr="00D47190">
        <w:rPr>
          <w:rFonts w:cstheme="minorHAnsi"/>
          <w:b/>
          <w:bCs/>
          <w:sz w:val="24"/>
          <w:szCs w:val="24"/>
        </w:rPr>
        <w:t>Effective Date.</w:t>
      </w:r>
      <w:r w:rsidR="00D47190" w:rsidRPr="00D47190">
        <w:rPr>
          <w:rFonts w:cstheme="minorHAnsi"/>
          <w:sz w:val="24"/>
          <w:szCs w:val="24"/>
        </w:rPr>
        <w:t xml:space="preserve">  This Ordinance </w:t>
      </w:r>
      <w:r w:rsidR="00CD6B9E">
        <w:rPr>
          <w:rFonts w:cstheme="minorHAnsi"/>
          <w:sz w:val="24"/>
          <w:szCs w:val="24"/>
        </w:rPr>
        <w:t>wi</w:t>
      </w:r>
      <w:r w:rsidR="00D47190" w:rsidRPr="00D47190">
        <w:rPr>
          <w:rFonts w:cstheme="minorHAnsi"/>
          <w:sz w:val="24"/>
          <w:szCs w:val="24"/>
        </w:rPr>
        <w:t>ll be in full force and effect after its approval, passage and publication as provided by law.</w:t>
      </w:r>
    </w:p>
    <w:p w14:paraId="2962D627" w14:textId="77777777" w:rsidR="00D47190" w:rsidRPr="00D47190" w:rsidRDefault="00D47190" w:rsidP="00D47190">
      <w:pPr>
        <w:spacing w:after="0" w:line="240" w:lineRule="auto"/>
        <w:jc w:val="both"/>
        <w:rPr>
          <w:rFonts w:cstheme="minorHAnsi"/>
          <w:sz w:val="24"/>
          <w:szCs w:val="24"/>
        </w:rPr>
      </w:pPr>
    </w:p>
    <w:p w14:paraId="4FBE5F5F" w14:textId="4B3BAFE3" w:rsidR="00D47190" w:rsidRPr="00D47190" w:rsidRDefault="00D47190" w:rsidP="00D47190">
      <w:pPr>
        <w:spacing w:after="0" w:line="240" w:lineRule="auto"/>
        <w:ind w:firstLine="720"/>
        <w:jc w:val="both"/>
        <w:rPr>
          <w:rFonts w:cstheme="minorHAnsi"/>
          <w:sz w:val="24"/>
          <w:szCs w:val="24"/>
        </w:rPr>
      </w:pPr>
      <w:r w:rsidRPr="00D47190">
        <w:rPr>
          <w:rFonts w:cstheme="minorHAnsi"/>
          <w:b/>
          <w:sz w:val="24"/>
          <w:szCs w:val="24"/>
        </w:rPr>
        <w:t xml:space="preserve">ADOPTED </w:t>
      </w:r>
      <w:r w:rsidRPr="00D47190">
        <w:rPr>
          <w:rFonts w:cstheme="minorHAnsi"/>
          <w:sz w:val="24"/>
          <w:szCs w:val="24"/>
        </w:rPr>
        <w:t xml:space="preserve">this </w:t>
      </w:r>
      <w:r w:rsidR="00D14F14">
        <w:rPr>
          <w:rFonts w:cstheme="minorHAnsi"/>
          <w:sz w:val="24"/>
          <w:szCs w:val="24"/>
        </w:rPr>
        <w:t>__</w:t>
      </w:r>
      <w:proofErr w:type="spellStart"/>
      <w:r w:rsidRPr="00D47190">
        <w:rPr>
          <w:rFonts w:cstheme="minorHAnsi"/>
          <w:sz w:val="24"/>
          <w:szCs w:val="24"/>
          <w:vertAlign w:val="superscript"/>
        </w:rPr>
        <w:t>th</w:t>
      </w:r>
      <w:proofErr w:type="spellEnd"/>
      <w:r w:rsidRPr="00D47190">
        <w:rPr>
          <w:rFonts w:cstheme="minorHAnsi"/>
          <w:sz w:val="24"/>
          <w:szCs w:val="24"/>
        </w:rPr>
        <w:t xml:space="preserve"> day of </w:t>
      </w:r>
      <w:r w:rsidR="00D14F14">
        <w:rPr>
          <w:rFonts w:cstheme="minorHAnsi"/>
          <w:sz w:val="24"/>
          <w:szCs w:val="24"/>
        </w:rPr>
        <w:t>____</w:t>
      </w:r>
      <w:r w:rsidRPr="00D47190">
        <w:rPr>
          <w:rFonts w:cstheme="minorHAnsi"/>
          <w:sz w:val="24"/>
          <w:szCs w:val="24"/>
        </w:rPr>
        <w:t>, 202</w:t>
      </w:r>
      <w:r w:rsidR="009C3F9C">
        <w:rPr>
          <w:rFonts w:cstheme="minorHAnsi"/>
          <w:sz w:val="24"/>
          <w:szCs w:val="24"/>
        </w:rPr>
        <w:t>5</w:t>
      </w:r>
      <w:r w:rsidRPr="00D47190">
        <w:rPr>
          <w:rFonts w:cstheme="minorHAnsi"/>
          <w:sz w:val="24"/>
          <w:szCs w:val="24"/>
        </w:rPr>
        <w:t>, pursuant to a roll call vote at follows:</w:t>
      </w:r>
    </w:p>
    <w:p w14:paraId="555DAB1C" w14:textId="77777777" w:rsidR="00A25E84" w:rsidRPr="008B2297" w:rsidRDefault="00A25E84" w:rsidP="00A25E84">
      <w:pPr>
        <w:ind w:firstLine="720"/>
        <w:contextualSpacing/>
        <w:jc w:val="both"/>
        <w:rPr>
          <w:rFonts w:ascii="Calibri" w:eastAsia="Calibri" w:hAnsi="Calibri"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303"/>
        <w:gridCol w:w="1315"/>
        <w:gridCol w:w="1672"/>
        <w:gridCol w:w="1621"/>
      </w:tblGrid>
      <w:tr w:rsidR="00A25E84" w:rsidRPr="008B2297" w14:paraId="648806A4" w14:textId="77777777" w:rsidTr="00080C91">
        <w:trPr>
          <w:trHeight w:val="335"/>
          <w:jc w:val="center"/>
        </w:trPr>
        <w:tc>
          <w:tcPr>
            <w:tcW w:w="2911" w:type="dxa"/>
            <w:shd w:val="clear" w:color="auto" w:fill="auto"/>
            <w:vAlign w:val="center"/>
          </w:tcPr>
          <w:p w14:paraId="057A24B9" w14:textId="77777777" w:rsidR="00A25E84" w:rsidRPr="008B2297" w:rsidRDefault="00A25E84" w:rsidP="00080C91">
            <w:pPr>
              <w:ind w:firstLine="720"/>
              <w:contextualSpacing/>
              <w:jc w:val="both"/>
              <w:rPr>
                <w:rFonts w:ascii="Calibri" w:eastAsia="Calibri" w:hAnsi="Calibri" w:cs="Times New Roman"/>
              </w:rPr>
            </w:pPr>
            <w:r w:rsidRPr="008B2297">
              <w:rPr>
                <w:rFonts w:ascii="Calibri" w:eastAsia="Calibri" w:hAnsi="Calibri" w:cs="Times New Roman"/>
              </w:rPr>
              <w:t>Voting</w:t>
            </w:r>
          </w:p>
        </w:tc>
        <w:tc>
          <w:tcPr>
            <w:tcW w:w="1303" w:type="dxa"/>
            <w:shd w:val="clear" w:color="auto" w:fill="auto"/>
            <w:vAlign w:val="center"/>
          </w:tcPr>
          <w:p w14:paraId="39DF6EA0" w14:textId="77777777" w:rsidR="00A25E84" w:rsidRPr="008B2297" w:rsidRDefault="00A25E84" w:rsidP="00080C91">
            <w:pPr>
              <w:ind w:firstLine="720"/>
              <w:contextualSpacing/>
              <w:jc w:val="both"/>
              <w:rPr>
                <w:rFonts w:ascii="Calibri" w:eastAsia="Calibri" w:hAnsi="Calibri" w:cs="Times New Roman"/>
              </w:rPr>
            </w:pPr>
            <w:r w:rsidRPr="008B2297">
              <w:rPr>
                <w:rFonts w:ascii="Calibri" w:eastAsia="Calibri" w:hAnsi="Calibri" w:cs="Times New Roman"/>
              </w:rPr>
              <w:t>Aye</w:t>
            </w:r>
          </w:p>
        </w:tc>
        <w:tc>
          <w:tcPr>
            <w:tcW w:w="1315" w:type="dxa"/>
            <w:shd w:val="clear" w:color="auto" w:fill="auto"/>
            <w:vAlign w:val="center"/>
          </w:tcPr>
          <w:p w14:paraId="4BA3CA6A" w14:textId="77777777" w:rsidR="00A25E84" w:rsidRPr="008B2297" w:rsidRDefault="00A25E84" w:rsidP="00080C91">
            <w:pPr>
              <w:ind w:firstLine="720"/>
              <w:contextualSpacing/>
              <w:jc w:val="both"/>
              <w:rPr>
                <w:rFonts w:ascii="Calibri" w:eastAsia="Calibri" w:hAnsi="Calibri" w:cs="Times New Roman"/>
              </w:rPr>
            </w:pPr>
            <w:r w:rsidRPr="008B2297">
              <w:rPr>
                <w:rFonts w:ascii="Calibri" w:eastAsia="Calibri" w:hAnsi="Calibri" w:cs="Times New Roman"/>
              </w:rPr>
              <w:t>Nay</w:t>
            </w:r>
          </w:p>
        </w:tc>
        <w:tc>
          <w:tcPr>
            <w:tcW w:w="1672" w:type="dxa"/>
            <w:shd w:val="clear" w:color="auto" w:fill="auto"/>
            <w:vAlign w:val="center"/>
          </w:tcPr>
          <w:p w14:paraId="659919A0" w14:textId="77777777" w:rsidR="00A25E84" w:rsidRPr="008B2297" w:rsidRDefault="00A25E84" w:rsidP="00080C91">
            <w:pPr>
              <w:ind w:firstLine="720"/>
              <w:contextualSpacing/>
              <w:jc w:val="both"/>
              <w:rPr>
                <w:rFonts w:ascii="Calibri" w:eastAsia="Calibri" w:hAnsi="Calibri" w:cs="Times New Roman"/>
              </w:rPr>
            </w:pPr>
            <w:r w:rsidRPr="008B2297">
              <w:rPr>
                <w:rFonts w:ascii="Calibri" w:eastAsia="Calibri" w:hAnsi="Calibri" w:cs="Times New Roman"/>
              </w:rPr>
              <w:t>Abstain</w:t>
            </w:r>
          </w:p>
        </w:tc>
        <w:tc>
          <w:tcPr>
            <w:tcW w:w="1621" w:type="dxa"/>
            <w:shd w:val="clear" w:color="auto" w:fill="auto"/>
            <w:vAlign w:val="center"/>
          </w:tcPr>
          <w:p w14:paraId="3D78F627" w14:textId="77777777" w:rsidR="00A25E84" w:rsidRPr="008B2297" w:rsidRDefault="00A25E84" w:rsidP="00080C91">
            <w:pPr>
              <w:ind w:firstLine="720"/>
              <w:contextualSpacing/>
              <w:jc w:val="both"/>
              <w:rPr>
                <w:rFonts w:ascii="Calibri" w:eastAsia="Calibri" w:hAnsi="Calibri" w:cs="Times New Roman"/>
              </w:rPr>
            </w:pPr>
            <w:r w:rsidRPr="008B2297">
              <w:rPr>
                <w:rFonts w:ascii="Calibri" w:eastAsia="Calibri" w:hAnsi="Calibri" w:cs="Times New Roman"/>
              </w:rPr>
              <w:t>Absent</w:t>
            </w:r>
          </w:p>
        </w:tc>
      </w:tr>
      <w:tr w:rsidR="00A25E84" w:rsidRPr="008B2297" w14:paraId="5A066522" w14:textId="77777777" w:rsidTr="00080C91">
        <w:trPr>
          <w:trHeight w:val="311"/>
          <w:jc w:val="center"/>
        </w:trPr>
        <w:tc>
          <w:tcPr>
            <w:tcW w:w="2911" w:type="dxa"/>
            <w:shd w:val="clear" w:color="auto" w:fill="auto"/>
            <w:vAlign w:val="center"/>
          </w:tcPr>
          <w:p w14:paraId="51739E90"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President Scaman</w:t>
            </w:r>
          </w:p>
        </w:tc>
        <w:tc>
          <w:tcPr>
            <w:tcW w:w="1303" w:type="dxa"/>
            <w:shd w:val="clear" w:color="auto" w:fill="auto"/>
            <w:vAlign w:val="center"/>
          </w:tcPr>
          <w:p w14:paraId="5B96E41C"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46B9F24B"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66910534"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6481938D" w14:textId="77777777" w:rsidR="00A25E84" w:rsidRPr="008B2297" w:rsidRDefault="00A25E84" w:rsidP="00080C91">
            <w:pPr>
              <w:ind w:firstLine="720"/>
              <w:contextualSpacing/>
              <w:jc w:val="both"/>
              <w:rPr>
                <w:rFonts w:ascii="Calibri" w:eastAsia="Calibri" w:hAnsi="Calibri" w:cs="Times New Roman"/>
              </w:rPr>
            </w:pPr>
          </w:p>
        </w:tc>
      </w:tr>
      <w:tr w:rsidR="00D14F14" w:rsidRPr="008B2297" w14:paraId="0EC26225" w14:textId="77777777" w:rsidTr="00080C91">
        <w:trPr>
          <w:trHeight w:val="311"/>
          <w:jc w:val="center"/>
        </w:trPr>
        <w:tc>
          <w:tcPr>
            <w:tcW w:w="2911" w:type="dxa"/>
            <w:shd w:val="clear" w:color="auto" w:fill="auto"/>
            <w:vAlign w:val="center"/>
          </w:tcPr>
          <w:p w14:paraId="4262AC2F" w14:textId="77777777" w:rsidR="00D14F14" w:rsidRPr="008B2297" w:rsidRDefault="00D14F14" w:rsidP="00080C91">
            <w:pPr>
              <w:contextualSpacing/>
              <w:rPr>
                <w:rFonts w:ascii="Calibri" w:eastAsia="Calibri" w:hAnsi="Calibri" w:cs="Times New Roman"/>
              </w:rPr>
            </w:pPr>
            <w:r>
              <w:rPr>
                <w:rFonts w:ascii="Calibri" w:eastAsia="Calibri" w:hAnsi="Calibri" w:cs="Times New Roman"/>
              </w:rPr>
              <w:t>Trustee Eder</w:t>
            </w:r>
          </w:p>
        </w:tc>
        <w:tc>
          <w:tcPr>
            <w:tcW w:w="1303" w:type="dxa"/>
            <w:shd w:val="clear" w:color="auto" w:fill="auto"/>
            <w:vAlign w:val="center"/>
          </w:tcPr>
          <w:p w14:paraId="5E7450F4" w14:textId="77777777" w:rsidR="00D14F14" w:rsidRPr="008B2297" w:rsidRDefault="00D14F14" w:rsidP="00080C91">
            <w:pPr>
              <w:ind w:firstLine="720"/>
              <w:contextualSpacing/>
              <w:jc w:val="both"/>
              <w:rPr>
                <w:rFonts w:ascii="Calibri" w:eastAsia="Calibri" w:hAnsi="Calibri" w:cs="Times New Roman"/>
              </w:rPr>
            </w:pPr>
          </w:p>
        </w:tc>
        <w:tc>
          <w:tcPr>
            <w:tcW w:w="1315" w:type="dxa"/>
            <w:shd w:val="clear" w:color="auto" w:fill="auto"/>
            <w:vAlign w:val="center"/>
          </w:tcPr>
          <w:p w14:paraId="2F527E3A" w14:textId="77777777" w:rsidR="00D14F14" w:rsidRPr="008B2297" w:rsidRDefault="00D14F14" w:rsidP="00080C91">
            <w:pPr>
              <w:ind w:firstLine="720"/>
              <w:contextualSpacing/>
              <w:jc w:val="both"/>
              <w:rPr>
                <w:rFonts w:ascii="Calibri" w:eastAsia="Calibri" w:hAnsi="Calibri" w:cs="Times New Roman"/>
              </w:rPr>
            </w:pPr>
          </w:p>
        </w:tc>
        <w:tc>
          <w:tcPr>
            <w:tcW w:w="1672" w:type="dxa"/>
            <w:shd w:val="clear" w:color="auto" w:fill="auto"/>
            <w:vAlign w:val="center"/>
          </w:tcPr>
          <w:p w14:paraId="0AC14BE5" w14:textId="77777777" w:rsidR="00D14F14" w:rsidRPr="008B2297" w:rsidRDefault="00D14F14" w:rsidP="00080C91">
            <w:pPr>
              <w:ind w:firstLine="720"/>
              <w:contextualSpacing/>
              <w:jc w:val="both"/>
              <w:rPr>
                <w:rFonts w:ascii="Calibri" w:eastAsia="Calibri" w:hAnsi="Calibri" w:cs="Times New Roman"/>
              </w:rPr>
            </w:pPr>
          </w:p>
        </w:tc>
        <w:tc>
          <w:tcPr>
            <w:tcW w:w="1621" w:type="dxa"/>
            <w:shd w:val="clear" w:color="auto" w:fill="auto"/>
            <w:vAlign w:val="center"/>
          </w:tcPr>
          <w:p w14:paraId="348934FB" w14:textId="77777777" w:rsidR="00D14F14" w:rsidRPr="008B2297" w:rsidRDefault="00D14F14" w:rsidP="00080C91">
            <w:pPr>
              <w:ind w:firstLine="720"/>
              <w:contextualSpacing/>
              <w:jc w:val="both"/>
              <w:rPr>
                <w:rFonts w:ascii="Calibri" w:eastAsia="Calibri" w:hAnsi="Calibri" w:cs="Times New Roman"/>
              </w:rPr>
            </w:pPr>
          </w:p>
        </w:tc>
      </w:tr>
      <w:tr w:rsidR="00A25E84" w:rsidRPr="008B2297" w14:paraId="4599DA3F" w14:textId="77777777" w:rsidTr="00080C91">
        <w:trPr>
          <w:trHeight w:val="311"/>
          <w:jc w:val="center"/>
        </w:trPr>
        <w:tc>
          <w:tcPr>
            <w:tcW w:w="2911" w:type="dxa"/>
            <w:shd w:val="clear" w:color="auto" w:fill="auto"/>
            <w:vAlign w:val="center"/>
          </w:tcPr>
          <w:p w14:paraId="523BDA91"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 xml:space="preserve">Trustee </w:t>
            </w:r>
            <w:proofErr w:type="spellStart"/>
            <w:r w:rsidRPr="008B2297">
              <w:rPr>
                <w:rFonts w:ascii="Calibri" w:eastAsia="Calibri" w:hAnsi="Calibri" w:cs="Times New Roman"/>
              </w:rPr>
              <w:t>Eny</w:t>
            </w:r>
            <w:r>
              <w:rPr>
                <w:rFonts w:ascii="Calibri" w:eastAsia="Calibri" w:hAnsi="Calibri" w:cs="Times New Roman"/>
              </w:rPr>
              <w:t>i</w:t>
            </w:r>
            <w:r w:rsidRPr="008B2297">
              <w:rPr>
                <w:rFonts w:ascii="Calibri" w:eastAsia="Calibri" w:hAnsi="Calibri" w:cs="Times New Roman"/>
              </w:rPr>
              <w:t>a</w:t>
            </w:r>
            <w:proofErr w:type="spellEnd"/>
          </w:p>
        </w:tc>
        <w:tc>
          <w:tcPr>
            <w:tcW w:w="1303" w:type="dxa"/>
            <w:shd w:val="clear" w:color="auto" w:fill="auto"/>
            <w:vAlign w:val="center"/>
          </w:tcPr>
          <w:p w14:paraId="5D3CBE32"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7E5975FA"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490FF4A7"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042975D3" w14:textId="77777777" w:rsidR="00A25E84" w:rsidRPr="008B2297" w:rsidRDefault="00A25E84" w:rsidP="00080C91">
            <w:pPr>
              <w:ind w:firstLine="720"/>
              <w:contextualSpacing/>
              <w:jc w:val="both"/>
              <w:rPr>
                <w:rFonts w:ascii="Calibri" w:eastAsia="Calibri" w:hAnsi="Calibri" w:cs="Times New Roman"/>
              </w:rPr>
            </w:pPr>
          </w:p>
        </w:tc>
      </w:tr>
      <w:tr w:rsidR="00A25E84" w:rsidRPr="008B2297" w14:paraId="1C3BC525" w14:textId="77777777" w:rsidTr="00080C91">
        <w:trPr>
          <w:trHeight w:val="311"/>
          <w:jc w:val="center"/>
        </w:trPr>
        <w:tc>
          <w:tcPr>
            <w:tcW w:w="2911" w:type="dxa"/>
            <w:shd w:val="clear" w:color="auto" w:fill="auto"/>
            <w:vAlign w:val="center"/>
          </w:tcPr>
          <w:p w14:paraId="3A567E60"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Trustee</w:t>
            </w:r>
            <w:r>
              <w:rPr>
                <w:rFonts w:ascii="Calibri" w:eastAsia="Calibri" w:hAnsi="Calibri" w:cs="Times New Roman"/>
              </w:rPr>
              <w:t xml:space="preserve"> </w:t>
            </w:r>
            <w:r w:rsidRPr="00F3440B">
              <w:rPr>
                <w:rFonts w:ascii="Calibri" w:eastAsia="Calibri" w:hAnsi="Calibri" w:cs="Times New Roman"/>
              </w:rPr>
              <w:t>Leving Jacobson</w:t>
            </w:r>
          </w:p>
        </w:tc>
        <w:tc>
          <w:tcPr>
            <w:tcW w:w="1303" w:type="dxa"/>
            <w:shd w:val="clear" w:color="auto" w:fill="auto"/>
            <w:vAlign w:val="center"/>
          </w:tcPr>
          <w:p w14:paraId="233AFA66"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28A4E682"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592BDFB1"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03317AAC" w14:textId="77777777" w:rsidR="00A25E84" w:rsidRPr="008B2297" w:rsidRDefault="00A25E84" w:rsidP="00080C91">
            <w:pPr>
              <w:ind w:firstLine="720"/>
              <w:contextualSpacing/>
              <w:jc w:val="both"/>
              <w:rPr>
                <w:rFonts w:ascii="Calibri" w:eastAsia="Calibri" w:hAnsi="Calibri" w:cs="Times New Roman"/>
              </w:rPr>
            </w:pPr>
          </w:p>
        </w:tc>
      </w:tr>
      <w:tr w:rsidR="00A25E84" w:rsidRPr="008B2297" w14:paraId="34B1CB7F" w14:textId="77777777" w:rsidTr="00080C91">
        <w:trPr>
          <w:trHeight w:val="311"/>
          <w:jc w:val="center"/>
        </w:trPr>
        <w:tc>
          <w:tcPr>
            <w:tcW w:w="2911" w:type="dxa"/>
            <w:shd w:val="clear" w:color="auto" w:fill="auto"/>
            <w:vAlign w:val="center"/>
          </w:tcPr>
          <w:p w14:paraId="3C06D9D0"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 xml:space="preserve">Trustee </w:t>
            </w:r>
            <w:r>
              <w:rPr>
                <w:rFonts w:ascii="Calibri" w:eastAsia="Calibri" w:hAnsi="Calibri" w:cs="Times New Roman"/>
              </w:rPr>
              <w:t>Straw</w:t>
            </w:r>
          </w:p>
        </w:tc>
        <w:tc>
          <w:tcPr>
            <w:tcW w:w="1303" w:type="dxa"/>
            <w:shd w:val="clear" w:color="auto" w:fill="auto"/>
            <w:vAlign w:val="center"/>
          </w:tcPr>
          <w:p w14:paraId="6DDEC1F9"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15C45D41"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293A3A64"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39DED583" w14:textId="77777777" w:rsidR="00A25E84" w:rsidRPr="008B2297" w:rsidRDefault="00A25E84" w:rsidP="00080C91">
            <w:pPr>
              <w:ind w:firstLine="720"/>
              <w:contextualSpacing/>
              <w:jc w:val="both"/>
              <w:rPr>
                <w:rFonts w:ascii="Calibri" w:eastAsia="Calibri" w:hAnsi="Calibri" w:cs="Times New Roman"/>
              </w:rPr>
            </w:pPr>
          </w:p>
        </w:tc>
      </w:tr>
      <w:tr w:rsidR="00A25E84" w:rsidRPr="008B2297" w14:paraId="591F4C14" w14:textId="77777777" w:rsidTr="00080C91">
        <w:trPr>
          <w:trHeight w:val="311"/>
          <w:jc w:val="center"/>
        </w:trPr>
        <w:tc>
          <w:tcPr>
            <w:tcW w:w="2911" w:type="dxa"/>
            <w:shd w:val="clear" w:color="auto" w:fill="auto"/>
            <w:vAlign w:val="center"/>
          </w:tcPr>
          <w:p w14:paraId="23D896DD"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Trustee Taglia</w:t>
            </w:r>
          </w:p>
        </w:tc>
        <w:tc>
          <w:tcPr>
            <w:tcW w:w="1303" w:type="dxa"/>
            <w:shd w:val="clear" w:color="auto" w:fill="auto"/>
            <w:vAlign w:val="center"/>
          </w:tcPr>
          <w:p w14:paraId="472059F3"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3F27ABEC"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6FFB651B"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1A62BDFD" w14:textId="77777777" w:rsidR="00A25E84" w:rsidRPr="008B2297" w:rsidRDefault="00A25E84" w:rsidP="00080C91">
            <w:pPr>
              <w:ind w:firstLine="720"/>
              <w:contextualSpacing/>
              <w:jc w:val="both"/>
              <w:rPr>
                <w:rFonts w:ascii="Calibri" w:eastAsia="Calibri" w:hAnsi="Calibri" w:cs="Times New Roman"/>
              </w:rPr>
            </w:pPr>
          </w:p>
        </w:tc>
      </w:tr>
      <w:tr w:rsidR="00A25E84" w:rsidRPr="008B2297" w14:paraId="48A963A7" w14:textId="77777777" w:rsidTr="00080C91">
        <w:trPr>
          <w:trHeight w:val="311"/>
          <w:jc w:val="center"/>
        </w:trPr>
        <w:tc>
          <w:tcPr>
            <w:tcW w:w="2911" w:type="dxa"/>
            <w:shd w:val="clear" w:color="auto" w:fill="auto"/>
            <w:vAlign w:val="center"/>
          </w:tcPr>
          <w:p w14:paraId="20B68BCF" w14:textId="77777777" w:rsidR="00A25E84" w:rsidRPr="008B2297" w:rsidRDefault="00A25E84" w:rsidP="00080C91">
            <w:pPr>
              <w:contextualSpacing/>
              <w:rPr>
                <w:rFonts w:ascii="Calibri" w:eastAsia="Calibri" w:hAnsi="Calibri" w:cs="Times New Roman"/>
              </w:rPr>
            </w:pPr>
            <w:r w:rsidRPr="008B2297">
              <w:rPr>
                <w:rFonts w:ascii="Calibri" w:eastAsia="Calibri" w:hAnsi="Calibri" w:cs="Times New Roman"/>
              </w:rPr>
              <w:t>Trustee Wesley</w:t>
            </w:r>
          </w:p>
        </w:tc>
        <w:tc>
          <w:tcPr>
            <w:tcW w:w="1303" w:type="dxa"/>
            <w:shd w:val="clear" w:color="auto" w:fill="auto"/>
            <w:vAlign w:val="center"/>
          </w:tcPr>
          <w:p w14:paraId="161E574C" w14:textId="77777777" w:rsidR="00A25E84" w:rsidRPr="008B2297" w:rsidRDefault="00A25E84" w:rsidP="00080C91">
            <w:pPr>
              <w:ind w:firstLine="720"/>
              <w:contextualSpacing/>
              <w:jc w:val="both"/>
              <w:rPr>
                <w:rFonts w:ascii="Calibri" w:eastAsia="Calibri" w:hAnsi="Calibri" w:cs="Times New Roman"/>
              </w:rPr>
            </w:pPr>
          </w:p>
        </w:tc>
        <w:tc>
          <w:tcPr>
            <w:tcW w:w="1315" w:type="dxa"/>
            <w:shd w:val="clear" w:color="auto" w:fill="auto"/>
            <w:vAlign w:val="center"/>
          </w:tcPr>
          <w:p w14:paraId="2507C2F2" w14:textId="77777777" w:rsidR="00A25E84" w:rsidRPr="008B2297" w:rsidRDefault="00A25E84" w:rsidP="00080C91">
            <w:pPr>
              <w:ind w:firstLine="720"/>
              <w:contextualSpacing/>
              <w:jc w:val="both"/>
              <w:rPr>
                <w:rFonts w:ascii="Calibri" w:eastAsia="Calibri" w:hAnsi="Calibri" w:cs="Times New Roman"/>
              </w:rPr>
            </w:pPr>
          </w:p>
        </w:tc>
        <w:tc>
          <w:tcPr>
            <w:tcW w:w="1672" w:type="dxa"/>
            <w:shd w:val="clear" w:color="auto" w:fill="auto"/>
            <w:vAlign w:val="center"/>
          </w:tcPr>
          <w:p w14:paraId="35CE8A91" w14:textId="77777777" w:rsidR="00A25E84" w:rsidRPr="008B2297" w:rsidRDefault="00A25E84" w:rsidP="00080C91">
            <w:pPr>
              <w:ind w:firstLine="720"/>
              <w:contextualSpacing/>
              <w:jc w:val="both"/>
              <w:rPr>
                <w:rFonts w:ascii="Calibri" w:eastAsia="Calibri" w:hAnsi="Calibri" w:cs="Times New Roman"/>
              </w:rPr>
            </w:pPr>
          </w:p>
        </w:tc>
        <w:tc>
          <w:tcPr>
            <w:tcW w:w="1621" w:type="dxa"/>
            <w:shd w:val="clear" w:color="auto" w:fill="auto"/>
            <w:vAlign w:val="center"/>
          </w:tcPr>
          <w:p w14:paraId="4FA6AF8C" w14:textId="77777777" w:rsidR="00A25E84" w:rsidRPr="008B2297" w:rsidRDefault="00A25E84" w:rsidP="00080C91">
            <w:pPr>
              <w:ind w:firstLine="720"/>
              <w:contextualSpacing/>
              <w:jc w:val="both"/>
              <w:rPr>
                <w:rFonts w:ascii="Calibri" w:eastAsia="Calibri" w:hAnsi="Calibri" w:cs="Times New Roman"/>
              </w:rPr>
            </w:pPr>
          </w:p>
        </w:tc>
      </w:tr>
    </w:tbl>
    <w:p w14:paraId="2560D6AF" w14:textId="77777777" w:rsidR="00D47190" w:rsidRPr="00D47190" w:rsidRDefault="00D47190" w:rsidP="00D47190">
      <w:pPr>
        <w:spacing w:after="0" w:line="240" w:lineRule="auto"/>
        <w:jc w:val="both"/>
        <w:rPr>
          <w:rFonts w:cstheme="minorHAnsi"/>
          <w:b/>
          <w:sz w:val="24"/>
          <w:szCs w:val="24"/>
        </w:rPr>
      </w:pPr>
      <w:r w:rsidRPr="00D47190">
        <w:rPr>
          <w:rFonts w:cstheme="minorHAnsi"/>
          <w:b/>
          <w:sz w:val="24"/>
          <w:szCs w:val="24"/>
        </w:rPr>
        <w:lastRenderedPageBreak/>
        <w:tab/>
      </w:r>
    </w:p>
    <w:p w14:paraId="0F18C953" w14:textId="2E79CB24" w:rsidR="00D47190" w:rsidRPr="00D47190" w:rsidRDefault="00D47190" w:rsidP="00D47190">
      <w:pPr>
        <w:spacing w:after="0" w:line="240" w:lineRule="auto"/>
        <w:ind w:firstLine="720"/>
        <w:jc w:val="both"/>
        <w:rPr>
          <w:rFonts w:cstheme="minorHAnsi"/>
          <w:sz w:val="24"/>
          <w:szCs w:val="24"/>
        </w:rPr>
      </w:pPr>
      <w:r w:rsidRPr="00D47190">
        <w:rPr>
          <w:rFonts w:cstheme="minorHAnsi"/>
          <w:b/>
          <w:sz w:val="24"/>
          <w:szCs w:val="24"/>
        </w:rPr>
        <w:t xml:space="preserve">APPROVED </w:t>
      </w:r>
      <w:r w:rsidRPr="00D47190">
        <w:rPr>
          <w:rFonts w:cstheme="minorHAnsi"/>
          <w:sz w:val="24"/>
          <w:szCs w:val="24"/>
        </w:rPr>
        <w:t xml:space="preserve">this </w:t>
      </w:r>
      <w:r w:rsidR="00D14F14">
        <w:rPr>
          <w:rFonts w:cstheme="minorHAnsi"/>
          <w:sz w:val="24"/>
          <w:szCs w:val="24"/>
        </w:rPr>
        <w:t>____</w:t>
      </w:r>
      <w:r w:rsidR="00D14F14" w:rsidRPr="00D47190">
        <w:rPr>
          <w:rFonts w:cstheme="minorHAnsi"/>
          <w:sz w:val="24"/>
          <w:szCs w:val="24"/>
        </w:rPr>
        <w:t xml:space="preserve"> </w:t>
      </w:r>
      <w:r w:rsidRPr="00D47190">
        <w:rPr>
          <w:rFonts w:cstheme="minorHAnsi"/>
          <w:sz w:val="24"/>
          <w:szCs w:val="24"/>
        </w:rPr>
        <w:t xml:space="preserve">day of </w:t>
      </w:r>
      <w:r w:rsidR="00D14F14">
        <w:rPr>
          <w:rFonts w:cstheme="minorHAnsi"/>
          <w:sz w:val="24"/>
          <w:szCs w:val="24"/>
        </w:rPr>
        <w:t>____</w:t>
      </w:r>
      <w:r w:rsidRPr="00D47190">
        <w:rPr>
          <w:rFonts w:cstheme="minorHAnsi"/>
          <w:sz w:val="24"/>
          <w:szCs w:val="24"/>
        </w:rPr>
        <w:t>, 202</w:t>
      </w:r>
      <w:r w:rsidR="009C3F9C">
        <w:rPr>
          <w:rFonts w:cstheme="minorHAnsi"/>
          <w:sz w:val="24"/>
          <w:szCs w:val="24"/>
        </w:rPr>
        <w:t>5</w:t>
      </w:r>
      <w:r w:rsidRPr="00D47190">
        <w:rPr>
          <w:rFonts w:cstheme="minorHAnsi"/>
          <w:sz w:val="24"/>
          <w:szCs w:val="24"/>
        </w:rPr>
        <w:t>.</w:t>
      </w:r>
    </w:p>
    <w:p w14:paraId="44F02F26" w14:textId="77777777" w:rsidR="00D47190" w:rsidRPr="00D47190" w:rsidRDefault="00D47190" w:rsidP="00D47190">
      <w:pPr>
        <w:spacing w:after="0" w:line="240" w:lineRule="auto"/>
        <w:jc w:val="both"/>
        <w:rPr>
          <w:rFonts w:cstheme="minorHAnsi"/>
          <w:sz w:val="24"/>
          <w:szCs w:val="24"/>
          <w:u w:val="single"/>
        </w:rPr>
      </w:pP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t xml:space="preserve">      </w:t>
      </w:r>
      <w:r w:rsidRPr="00D47190">
        <w:rPr>
          <w:rFonts w:cstheme="minorHAnsi"/>
          <w:sz w:val="24"/>
          <w:szCs w:val="24"/>
        </w:rPr>
        <w:tab/>
      </w:r>
      <w:r w:rsidRPr="00D47190">
        <w:rPr>
          <w:rFonts w:cstheme="minorHAnsi"/>
          <w:sz w:val="24"/>
          <w:szCs w:val="24"/>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t>__________________</w:t>
      </w:r>
    </w:p>
    <w:p w14:paraId="4D4D8EE9" w14:textId="77777777" w:rsidR="00D47190" w:rsidRPr="00D47190" w:rsidRDefault="00D47190" w:rsidP="00D47190">
      <w:pPr>
        <w:spacing w:after="0" w:line="240" w:lineRule="auto"/>
        <w:jc w:val="both"/>
        <w:rPr>
          <w:rFonts w:cstheme="minorHAnsi"/>
          <w:sz w:val="24"/>
          <w:szCs w:val="24"/>
        </w:rPr>
      </w:pPr>
      <w:r w:rsidRPr="00D47190">
        <w:rPr>
          <w:rFonts w:cstheme="minorHAnsi"/>
          <w:b/>
          <w:sz w:val="24"/>
          <w:szCs w:val="24"/>
        </w:rPr>
        <w:tab/>
      </w:r>
      <w:r w:rsidRPr="00D47190">
        <w:rPr>
          <w:rFonts w:cstheme="minorHAnsi"/>
          <w:b/>
          <w:sz w:val="24"/>
          <w:szCs w:val="24"/>
        </w:rPr>
        <w:tab/>
      </w:r>
      <w:r w:rsidRPr="00D47190">
        <w:rPr>
          <w:rFonts w:cstheme="minorHAnsi"/>
          <w:b/>
          <w:sz w:val="24"/>
          <w:szCs w:val="24"/>
        </w:rPr>
        <w:tab/>
      </w:r>
      <w:r w:rsidRPr="00D47190">
        <w:rPr>
          <w:rFonts w:cstheme="minorHAnsi"/>
          <w:b/>
          <w:sz w:val="24"/>
          <w:szCs w:val="24"/>
        </w:rPr>
        <w:tab/>
      </w:r>
      <w:r w:rsidRPr="00D47190">
        <w:rPr>
          <w:rFonts w:cstheme="minorHAnsi"/>
          <w:b/>
          <w:sz w:val="24"/>
          <w:szCs w:val="24"/>
        </w:rPr>
        <w:tab/>
      </w:r>
      <w:r w:rsidRPr="00D47190">
        <w:rPr>
          <w:rFonts w:cstheme="minorHAnsi"/>
          <w:b/>
          <w:sz w:val="24"/>
          <w:szCs w:val="24"/>
        </w:rPr>
        <w:tab/>
      </w:r>
      <w:r w:rsidRPr="00D47190">
        <w:rPr>
          <w:rFonts w:cstheme="minorHAnsi"/>
          <w:sz w:val="24"/>
          <w:szCs w:val="24"/>
        </w:rPr>
        <w:t xml:space="preserve"> </w:t>
      </w:r>
      <w:r w:rsidRPr="00D47190">
        <w:rPr>
          <w:rFonts w:cstheme="minorHAnsi"/>
          <w:sz w:val="24"/>
          <w:szCs w:val="24"/>
        </w:rPr>
        <w:tab/>
        <w:t>Vicki Scaman, Village President</w:t>
      </w:r>
    </w:p>
    <w:p w14:paraId="33704CC6" w14:textId="77777777" w:rsidR="00D47190" w:rsidRPr="00D47190" w:rsidRDefault="00D47190" w:rsidP="00D47190">
      <w:pPr>
        <w:spacing w:after="0" w:line="240" w:lineRule="auto"/>
        <w:jc w:val="both"/>
        <w:rPr>
          <w:rFonts w:cstheme="minorHAnsi"/>
          <w:b/>
          <w:sz w:val="24"/>
          <w:szCs w:val="24"/>
        </w:rPr>
      </w:pPr>
      <w:r w:rsidRPr="00D47190">
        <w:rPr>
          <w:rFonts w:cstheme="minorHAnsi"/>
          <w:b/>
          <w:sz w:val="24"/>
          <w:szCs w:val="24"/>
        </w:rPr>
        <w:t>ATTEST</w:t>
      </w:r>
    </w:p>
    <w:p w14:paraId="763E1062" w14:textId="77777777" w:rsidR="00D47190" w:rsidRPr="00D47190" w:rsidRDefault="00D47190" w:rsidP="00D47190">
      <w:pPr>
        <w:spacing w:after="0" w:line="240" w:lineRule="auto"/>
        <w:jc w:val="both"/>
        <w:rPr>
          <w:rFonts w:cstheme="minorHAnsi"/>
          <w:b/>
          <w:sz w:val="24"/>
          <w:szCs w:val="24"/>
        </w:rPr>
      </w:pPr>
    </w:p>
    <w:p w14:paraId="4607723E" w14:textId="77777777" w:rsidR="00D47190" w:rsidRPr="00D47190" w:rsidRDefault="00D47190" w:rsidP="00D47190">
      <w:pPr>
        <w:spacing w:after="0" w:line="240" w:lineRule="auto"/>
        <w:rPr>
          <w:rFonts w:cstheme="minorHAnsi"/>
          <w:sz w:val="24"/>
          <w:szCs w:val="24"/>
          <w:u w:val="single"/>
        </w:rPr>
      </w:pP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p>
    <w:p w14:paraId="26B68B11" w14:textId="77777777" w:rsidR="00D47190" w:rsidRPr="00D47190" w:rsidRDefault="00D47190" w:rsidP="00D47190">
      <w:pPr>
        <w:spacing w:after="0" w:line="240" w:lineRule="auto"/>
        <w:rPr>
          <w:rFonts w:cstheme="minorHAnsi"/>
          <w:sz w:val="24"/>
          <w:szCs w:val="24"/>
        </w:rPr>
      </w:pPr>
      <w:r w:rsidRPr="00D47190">
        <w:rPr>
          <w:rFonts w:cstheme="minorHAnsi"/>
          <w:sz w:val="24"/>
          <w:szCs w:val="24"/>
        </w:rPr>
        <w:t>Christina M. Waters, Village Clerk</w:t>
      </w:r>
    </w:p>
    <w:p w14:paraId="4401DD26" w14:textId="77777777" w:rsidR="00D47190" w:rsidRPr="00D47190" w:rsidRDefault="00D47190" w:rsidP="00D47190">
      <w:pPr>
        <w:spacing w:after="0" w:line="240" w:lineRule="auto"/>
        <w:rPr>
          <w:rFonts w:cstheme="minorHAnsi"/>
          <w:sz w:val="24"/>
          <w:szCs w:val="24"/>
        </w:rPr>
      </w:pPr>
    </w:p>
    <w:p w14:paraId="168DC9B5" w14:textId="01DB5869" w:rsidR="00D47190" w:rsidRPr="00D47190" w:rsidRDefault="00D47190" w:rsidP="00D47190">
      <w:pPr>
        <w:spacing w:after="0" w:line="240" w:lineRule="auto"/>
        <w:ind w:left="2880" w:firstLine="720"/>
        <w:rPr>
          <w:rFonts w:cstheme="minorHAnsi"/>
          <w:sz w:val="24"/>
          <w:szCs w:val="24"/>
        </w:rPr>
      </w:pPr>
      <w:r w:rsidRPr="00D47190">
        <w:rPr>
          <w:rFonts w:cstheme="minorHAnsi"/>
          <w:sz w:val="24"/>
          <w:szCs w:val="24"/>
        </w:rPr>
        <w:t xml:space="preserve">Published in pamphlet form this </w:t>
      </w:r>
      <w:r w:rsidR="00D14F14">
        <w:rPr>
          <w:rFonts w:cstheme="minorHAnsi"/>
          <w:sz w:val="24"/>
          <w:szCs w:val="24"/>
        </w:rPr>
        <w:t>____</w:t>
      </w:r>
      <w:r w:rsidR="00D14F14" w:rsidRPr="00D47190">
        <w:rPr>
          <w:rFonts w:cstheme="minorHAnsi"/>
          <w:sz w:val="24"/>
          <w:szCs w:val="24"/>
        </w:rPr>
        <w:t xml:space="preserve"> </w:t>
      </w:r>
      <w:r w:rsidRPr="00D47190">
        <w:rPr>
          <w:rFonts w:cstheme="minorHAnsi"/>
          <w:sz w:val="24"/>
          <w:szCs w:val="24"/>
        </w:rPr>
        <w:t xml:space="preserve">day of </w:t>
      </w:r>
      <w:r w:rsidR="00D14F14">
        <w:rPr>
          <w:rFonts w:cstheme="minorHAnsi"/>
          <w:sz w:val="24"/>
          <w:szCs w:val="24"/>
        </w:rPr>
        <w:t>______</w:t>
      </w:r>
      <w:r w:rsidRPr="00D47190">
        <w:rPr>
          <w:rFonts w:cstheme="minorHAnsi"/>
          <w:sz w:val="24"/>
          <w:szCs w:val="24"/>
        </w:rPr>
        <w:t>, 202</w:t>
      </w:r>
      <w:r w:rsidR="009C3F9C">
        <w:rPr>
          <w:rFonts w:cstheme="minorHAnsi"/>
          <w:sz w:val="24"/>
          <w:szCs w:val="24"/>
        </w:rPr>
        <w:t>5</w:t>
      </w:r>
      <w:r w:rsidRPr="00D47190">
        <w:rPr>
          <w:rFonts w:cstheme="minorHAnsi"/>
          <w:sz w:val="24"/>
          <w:szCs w:val="24"/>
        </w:rPr>
        <w:t>.</w:t>
      </w:r>
    </w:p>
    <w:p w14:paraId="587FE27E" w14:textId="77777777" w:rsidR="00D47190" w:rsidRPr="00D47190" w:rsidRDefault="00D47190" w:rsidP="00D47190">
      <w:pPr>
        <w:spacing w:after="0" w:line="240" w:lineRule="auto"/>
        <w:ind w:left="2160"/>
        <w:rPr>
          <w:rFonts w:cstheme="minorHAnsi"/>
          <w:sz w:val="24"/>
          <w:szCs w:val="24"/>
        </w:rPr>
      </w:pPr>
    </w:p>
    <w:p w14:paraId="3D20EF63" w14:textId="77777777" w:rsidR="00D47190" w:rsidRPr="00D47190" w:rsidRDefault="00D47190" w:rsidP="00D47190">
      <w:pPr>
        <w:spacing w:after="0" w:line="240" w:lineRule="auto"/>
        <w:rPr>
          <w:rFonts w:cstheme="minorHAnsi"/>
          <w:sz w:val="24"/>
          <w:szCs w:val="24"/>
          <w:u w:val="single"/>
        </w:rPr>
      </w:pP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r w:rsidRPr="00D47190">
        <w:rPr>
          <w:rFonts w:cstheme="minorHAnsi"/>
          <w:sz w:val="24"/>
          <w:szCs w:val="24"/>
          <w:u w:val="single"/>
        </w:rPr>
        <w:tab/>
      </w:r>
    </w:p>
    <w:p w14:paraId="338C8D38" w14:textId="77777777" w:rsidR="00D47190" w:rsidRPr="00D47190" w:rsidRDefault="00D47190" w:rsidP="00D47190">
      <w:pPr>
        <w:spacing w:after="0" w:line="240" w:lineRule="auto"/>
        <w:ind w:left="4320" w:firstLine="720"/>
        <w:rPr>
          <w:rFonts w:cstheme="minorHAnsi"/>
          <w:sz w:val="24"/>
          <w:szCs w:val="24"/>
        </w:rPr>
      </w:pPr>
      <w:r w:rsidRPr="00D47190">
        <w:rPr>
          <w:rFonts w:cstheme="minorHAnsi"/>
          <w:sz w:val="24"/>
          <w:szCs w:val="24"/>
        </w:rPr>
        <w:t>Christina M. Waters, Village Clerk</w:t>
      </w:r>
    </w:p>
    <w:p w14:paraId="32127888" w14:textId="77777777" w:rsidR="00E325B5" w:rsidRDefault="00E325B5"/>
    <w:sectPr w:rsidR="00E325B5" w:rsidSect="00A25E84">
      <w:footerReference w:type="default" r:id="rId6"/>
      <w:pgSz w:w="12240" w:h="15840"/>
      <w:pgMar w:top="1440" w:right="1440" w:bottom="1170" w:left="1440" w:header="72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B372" w14:textId="77777777" w:rsidR="00DE1105" w:rsidRDefault="00DE1105" w:rsidP="00A25E84">
      <w:pPr>
        <w:spacing w:after="0" w:line="240" w:lineRule="auto"/>
      </w:pPr>
      <w:r>
        <w:separator/>
      </w:r>
    </w:p>
  </w:endnote>
  <w:endnote w:type="continuationSeparator" w:id="0">
    <w:p w14:paraId="378A7E78" w14:textId="77777777" w:rsidR="00DE1105" w:rsidRDefault="00DE1105" w:rsidP="00A2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812498"/>
      <w:docPartObj>
        <w:docPartGallery w:val="Page Numbers (Bottom of Page)"/>
        <w:docPartUnique/>
      </w:docPartObj>
    </w:sdtPr>
    <w:sdtEndPr>
      <w:rPr>
        <w:noProof/>
        <w:sz w:val="24"/>
        <w:szCs w:val="24"/>
      </w:rPr>
    </w:sdtEndPr>
    <w:sdtContent>
      <w:p w14:paraId="6D1CE4B9" w14:textId="77777777" w:rsidR="00A25E84" w:rsidRPr="00A25E84" w:rsidRDefault="00A25E84">
        <w:pPr>
          <w:pStyle w:val="Footer"/>
          <w:jc w:val="center"/>
          <w:rPr>
            <w:sz w:val="24"/>
            <w:szCs w:val="24"/>
          </w:rPr>
        </w:pPr>
        <w:r w:rsidRPr="00A25E84">
          <w:rPr>
            <w:sz w:val="24"/>
            <w:szCs w:val="24"/>
          </w:rPr>
          <w:fldChar w:fldCharType="begin"/>
        </w:r>
        <w:r w:rsidRPr="00A25E84">
          <w:rPr>
            <w:sz w:val="24"/>
            <w:szCs w:val="24"/>
          </w:rPr>
          <w:instrText xml:space="preserve"> PAGE   \* MERGEFORMAT </w:instrText>
        </w:r>
        <w:r w:rsidRPr="00A25E84">
          <w:rPr>
            <w:sz w:val="24"/>
            <w:szCs w:val="24"/>
          </w:rPr>
          <w:fldChar w:fldCharType="separate"/>
        </w:r>
        <w:r w:rsidRPr="00A25E84">
          <w:rPr>
            <w:noProof/>
            <w:sz w:val="24"/>
            <w:szCs w:val="24"/>
          </w:rPr>
          <w:t>2</w:t>
        </w:r>
        <w:r w:rsidRPr="00A25E84">
          <w:rPr>
            <w:noProof/>
            <w:sz w:val="24"/>
            <w:szCs w:val="24"/>
          </w:rPr>
          <w:fldChar w:fldCharType="end"/>
        </w:r>
      </w:p>
    </w:sdtContent>
  </w:sdt>
  <w:p w14:paraId="087F78E2" w14:textId="77777777" w:rsidR="00A25E84" w:rsidRDefault="00A2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7C2CD" w14:textId="77777777" w:rsidR="00DE1105" w:rsidRDefault="00DE1105" w:rsidP="00A25E84">
      <w:pPr>
        <w:spacing w:after="0" w:line="240" w:lineRule="auto"/>
      </w:pPr>
      <w:r>
        <w:separator/>
      </w:r>
    </w:p>
  </w:footnote>
  <w:footnote w:type="continuationSeparator" w:id="0">
    <w:p w14:paraId="5DC382CA" w14:textId="77777777" w:rsidR="00DE1105" w:rsidRDefault="00DE1105" w:rsidP="00A25E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90"/>
    <w:rsid w:val="00083333"/>
    <w:rsid w:val="000A298D"/>
    <w:rsid w:val="00146EA8"/>
    <w:rsid w:val="00151556"/>
    <w:rsid w:val="00163B76"/>
    <w:rsid w:val="002F4BD5"/>
    <w:rsid w:val="00460041"/>
    <w:rsid w:val="0047585B"/>
    <w:rsid w:val="005416F0"/>
    <w:rsid w:val="00646B9C"/>
    <w:rsid w:val="006C7A89"/>
    <w:rsid w:val="00710F1E"/>
    <w:rsid w:val="007236C2"/>
    <w:rsid w:val="007920BA"/>
    <w:rsid w:val="007A36B5"/>
    <w:rsid w:val="008447B6"/>
    <w:rsid w:val="008E1B99"/>
    <w:rsid w:val="009149CA"/>
    <w:rsid w:val="009C3F9C"/>
    <w:rsid w:val="00A12ED5"/>
    <w:rsid w:val="00A25E84"/>
    <w:rsid w:val="00A47C55"/>
    <w:rsid w:val="00A7634E"/>
    <w:rsid w:val="00AB04A0"/>
    <w:rsid w:val="00AF3C2C"/>
    <w:rsid w:val="00B57230"/>
    <w:rsid w:val="00BD47C9"/>
    <w:rsid w:val="00BF4C8C"/>
    <w:rsid w:val="00CD6B9E"/>
    <w:rsid w:val="00D14F14"/>
    <w:rsid w:val="00D17893"/>
    <w:rsid w:val="00D47190"/>
    <w:rsid w:val="00D7470C"/>
    <w:rsid w:val="00D85900"/>
    <w:rsid w:val="00DC29D0"/>
    <w:rsid w:val="00DE1105"/>
    <w:rsid w:val="00DF05D7"/>
    <w:rsid w:val="00E325B5"/>
    <w:rsid w:val="00E545E9"/>
    <w:rsid w:val="00E6345C"/>
    <w:rsid w:val="00F2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CD86"/>
  <w15:chartTrackingRefBased/>
  <w15:docId w15:val="{BE59F2FF-16F7-46B6-A7F5-D819578A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E84"/>
  </w:style>
  <w:style w:type="paragraph" w:styleId="Footer">
    <w:name w:val="footer"/>
    <w:basedOn w:val="Normal"/>
    <w:link w:val="FooterChar"/>
    <w:uiPriority w:val="99"/>
    <w:unhideWhenUsed/>
    <w:rsid w:val="00A2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E84"/>
  </w:style>
  <w:style w:type="paragraph" w:styleId="BalloonText">
    <w:name w:val="Balloon Text"/>
    <w:basedOn w:val="Normal"/>
    <w:link w:val="BalloonTextChar"/>
    <w:uiPriority w:val="99"/>
    <w:semiHidden/>
    <w:unhideWhenUsed/>
    <w:rsid w:val="008E1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99"/>
    <w:rPr>
      <w:rFonts w:ascii="Segoe UI" w:hAnsi="Segoe UI" w:cs="Segoe UI"/>
      <w:sz w:val="18"/>
      <w:szCs w:val="18"/>
    </w:rPr>
  </w:style>
  <w:style w:type="character" w:styleId="CommentReference">
    <w:name w:val="annotation reference"/>
    <w:basedOn w:val="DefaultParagraphFont"/>
    <w:uiPriority w:val="99"/>
    <w:semiHidden/>
    <w:unhideWhenUsed/>
    <w:rsid w:val="009149CA"/>
    <w:rPr>
      <w:sz w:val="16"/>
      <w:szCs w:val="16"/>
    </w:rPr>
  </w:style>
  <w:style w:type="paragraph" w:styleId="CommentText">
    <w:name w:val="annotation text"/>
    <w:basedOn w:val="Normal"/>
    <w:link w:val="CommentTextChar"/>
    <w:uiPriority w:val="99"/>
    <w:semiHidden/>
    <w:unhideWhenUsed/>
    <w:rsid w:val="009149CA"/>
    <w:pPr>
      <w:spacing w:line="240" w:lineRule="auto"/>
    </w:pPr>
    <w:rPr>
      <w:sz w:val="20"/>
      <w:szCs w:val="20"/>
    </w:rPr>
  </w:style>
  <w:style w:type="character" w:customStyle="1" w:styleId="CommentTextChar">
    <w:name w:val="Comment Text Char"/>
    <w:basedOn w:val="DefaultParagraphFont"/>
    <w:link w:val="CommentText"/>
    <w:uiPriority w:val="99"/>
    <w:semiHidden/>
    <w:rsid w:val="009149CA"/>
    <w:rPr>
      <w:sz w:val="20"/>
      <w:szCs w:val="20"/>
    </w:rPr>
  </w:style>
  <w:style w:type="paragraph" w:styleId="CommentSubject">
    <w:name w:val="annotation subject"/>
    <w:basedOn w:val="CommentText"/>
    <w:next w:val="CommentText"/>
    <w:link w:val="CommentSubjectChar"/>
    <w:uiPriority w:val="99"/>
    <w:semiHidden/>
    <w:unhideWhenUsed/>
    <w:rsid w:val="009149CA"/>
    <w:rPr>
      <w:b/>
      <w:bCs/>
    </w:rPr>
  </w:style>
  <w:style w:type="character" w:customStyle="1" w:styleId="CommentSubjectChar">
    <w:name w:val="Comment Subject Char"/>
    <w:basedOn w:val="CommentTextChar"/>
    <w:link w:val="CommentSubject"/>
    <w:uiPriority w:val="99"/>
    <w:semiHidden/>
    <w:rsid w:val="00914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Village of Oak Park</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Rasheda Jackson</dc:creator>
  <cp:keywords/>
  <dc:description/>
  <cp:lastModifiedBy>Fioretti, Tony</cp:lastModifiedBy>
  <cp:revision>3</cp:revision>
  <dcterms:created xsi:type="dcterms:W3CDTF">2025-06-18T20:07:00Z</dcterms:created>
  <dcterms:modified xsi:type="dcterms:W3CDTF">2025-06-27T17:02:00Z</dcterms:modified>
</cp:coreProperties>
</file>